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Guía de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09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Explicar al desarrollador cómo se crea, evoluciona y revierte el esquema MySQL, y qué precauciones tomar.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../backend/src/db.js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../backend/src/migraciones/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../backend/sql/003_registro_verificado.sql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../backend/scripts/migraciones.js</w:t>
      </w:r>
      <w:r>
        <w:t xml:space="preserve">. El diseño detallado (columnas, relaciones) está en </w:t>
      </w:r>
      <w:hyperlink w:history="1" r:id="rId6gyv6hrtqxccvvxsp0nwz">
        <w:r>
          <w:rPr>
            <w:color w:val="1D4ED8"/>
            <w:u w:val="single"/>
          </w:rPr>
          <w:t xml:space="preserve">../03_DISENO/05_DISENO_DE_BASE_DE_DATOS.docx</w:t>
        </w:r>
      </w:hyperlink>
      <w:r>
        <w:t xml:space="preserve"> y </w:t>
      </w:r>
      <w:hyperlink w:history="1" r:id="rIdtwpl3vpzj8v3i9y_18kpy">
        <w:r>
          <w:rPr>
            <w:color w:val="1D4ED8"/>
            <w:u w:val="single"/>
          </w:rPr>
          <w:t xml:space="preserve">../03_DISENO/07_DICCIONARIO_TECNICO_DE_DATOS.docx</w:t>
        </w:r>
      </w:hyperlink>
      <w:r>
        <w:t xml:space="preserve">. </w:t>
      </w:r>
      <w:r>
        <w:rPr>
          <w:b/>
          <w:bCs/>
        </w:rPr>
        <w:t xml:space="preserve">[OBS]</w:t>
      </w:r>
      <w:r>
        <w:t xml:space="preserve"> No se conectó a ninguna base durante la auditoría: el esquema se documenta a partir del DDL del código.</w:t>
      </w:r>
    </w:p>
    <w:p>
      <w:pPr>
        <w:pStyle w:val="Heading2"/>
        <w:keepNext/>
      </w:pPr>
      <w:r>
        <w:t xml:space="preserve">1. Conexión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2930"/>
        <w:gridCol w:w="2128"/>
        <w:gridCol w:w="2252"/>
      </w:tblGrid>
      <w:tr>
        <w:trPr>
          <w:tblHeader/>
        </w:trP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Pool</w:t>
            </w:r>
          </w:p>
        </w:tc>
        <w:tc>
          <w:tcPr>
            <w:tcW w:type="dxa" w:w="2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Conexiones</w:t>
            </w:r>
          </w:p>
        </w:tc>
        <w:tc>
          <w:tcPr>
            <w:tcW w:type="dxa" w:w="2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2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pool</w:t>
            </w:r>
          </w:p>
        </w:tc>
        <w:tc>
          <w:tcPr>
            <w:tcW w:type="dxa" w:w="2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min(DB_CONNECTION_LIMIT, 4)</w:t>
            </w:r>
            <w:r>
              <w:rPr>
                <w:sz w:val="17"/>
                <w:szCs w:val="17"/>
              </w:rPr>
              <w:t xml:space="preserve">, por defecto 3</w:t>
            </w:r>
          </w:p>
        </w:tc>
        <w:tc>
          <w:tcPr>
            <w:tcW w:type="dxa" w:w="2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Consultas normales y transacciones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getConnection()</w:t>
            </w:r>
          </w:p>
        </w:tc>
        <w:tc>
          <w:tcPr>
            <w:tcW w:type="dxa" w:w="2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db.js:9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poolTransacciones</w:t>
            </w:r>
          </w:p>
        </w:tc>
        <w:tc>
          <w:tcPr>
            <w:tcW w:type="dxa" w:w="2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multipleStatements: true</w:t>
            </w:r>
          </w:p>
        </w:tc>
        <w:tc>
          <w:tcPr>
            <w:tcW w:type="dxa" w:w="2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Lotes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START TRANSACTION … COMMIT</w:t>
            </w:r>
            <w:r>
              <w:rPr>
                <w:sz w:val="17"/>
                <w:szCs w:val="17"/>
              </w:rPr>
              <w:t xml:space="preserve"> del registro, login y panel de solicitudes (un viaje a MySQL)</w:t>
            </w:r>
          </w:p>
        </w:tc>
        <w:tc>
          <w:tcPr>
            <w:tcW w:type="dxa" w:w="2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db.js:29</w:t>
            </w:r>
          </w:p>
        </w:tc>
      </w:tr>
      <w:t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del padrón</w:t>
            </w:r>
          </w:p>
        </w:tc>
        <w:tc>
          <w:tcPr>
            <w:tcW w:type="dxa" w:w="2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Conexión aparte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MYSQL_ADDON_URI</w:t>
            </w:r>
            <w:r>
              <w:rPr>
                <w:sz w:val="17"/>
                <w:szCs w:val="17"/>
              </w:rPr>
              <w:t xml:space="preserve"> (solo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SELECT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Sincronización</w:t>
            </w:r>
          </w:p>
        </w:tc>
        <w:tc>
          <w:tcPr>
            <w:tcW w:type="dxa" w:w="2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seguridad/padron.js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El plan gratuito de MySQL en Clever Cloud admite 5 conexiones por usuario; el servidor usa hasta 4. Detenga el servidor antes de ejecutar scripts contra la misma base.</w:t>
      </w:r>
    </w:p>
    <w:p>
      <w:pPr>
        <w:pStyle w:val="Heading2"/>
        <w:keepNext/>
      </w:pPr>
      <w:r>
        <w:t xml:space="preserve">2. Ciclo de migración al arrancar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2152650" cy="7810500"/>
            <wp:effectExtent t="0" r="0" b="0" l="0"/>
            <wp:docPr id="41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El DDL heredado ignora errores de "columna duplicada"; las migraciones versionadas se registran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schema_migraciones (version, descripcion, aplicada_en)</w:t>
      </w:r>
      <w:r>
        <w:t xml:space="preserve"> y se aplican </w:t>
      </w:r>
      <w:r>
        <w:rPr>
          <w:b/>
          <w:bCs/>
        </w:rPr>
        <w:t xml:space="preserve">una sola vez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El DDL de MySQL no es transaccional: cada paso es idempotente para que un arranque posterior complete una migración interrumpida.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Las semillas insertan 17 categorías, 47 productos de ejemplo (solo si la tabla de categorías estaba vacía) y referencias institucionales para cotización (precio 0,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metadatos.cotizacion_requerida</w:t>
      </w:r>
      <w:r>
        <w:t xml:space="preserve">), sin duplicar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institucion_id + nombre</w:t>
      </w:r>
      <w:r>
        <w:t xml:space="preserve">.</w:t>
      </w:r>
    </w:p>
    <w:p>
      <w:pPr>
        <w:pStyle w:val="Heading2"/>
        <w:keepNext/>
      </w:pPr>
      <w:r>
        <w:t xml:space="preserve">3. Tablas (34)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46"/>
        <w:gridCol w:w="6214"/>
      </w:tblGrid>
      <w:tr>
        <w:trPr>
          <w:tblHeader/>
        </w:trPr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Origen</w:t>
            </w:r>
          </w:p>
        </w:tc>
        <w:tc>
          <w:tcPr>
            <w:tcW w:type="dxa" w:w="6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Tablas</w:t>
            </w:r>
          </w:p>
        </w:tc>
      </w:tr>
      <w:tr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  <w:r>
              <w:rPr>
                <w:sz w:val="17"/>
                <w:szCs w:val="17"/>
              </w:rPr>
              <w:t xml:space="preserve"> (base)</w:t>
            </w:r>
          </w:p>
        </w:tc>
        <w:tc>
          <w:tcPr>
            <w:tcW w:type="dxa" w:w="6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clientes, datos_sensibles, categorias, productos, solicitudes_contacto, atenciones, usuarios, refresh_tokens, retos_mfa, pedidos, pagos, eventos_pago, comprobantes, correo_outbox, solicitudes_reenvio_comprobante, automation_outbox, faq_asistente, asistente_pendientes, detalle_pedido, reportes_cliente, auditoria</w:t>
            </w:r>
          </w:p>
        </w:tc>
      </w:tr>
      <w:tr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migrarCuentaSegura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6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solicitudes_cuenta</w:t>
            </w:r>
          </w:p>
        </w:tc>
      </w:tr>
      <w:tr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migraciones/index.js</w:t>
            </w:r>
          </w:p>
        </w:tc>
        <w:tc>
          <w:tcPr>
            <w:tcW w:type="dxa" w:w="6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schema_migraciones</w:t>
            </w:r>
          </w:p>
        </w:tc>
      </w:tr>
      <w:tr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Migración 001</w:t>
            </w:r>
          </w:p>
        </w:tc>
        <w:tc>
          <w:tcPr>
            <w:tcW w:type="dxa" w:w="6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productos_elegibilidad, verificacion_historial, documentos_verificacion, staff_permisos (+ columnas en clientes, usuarios, productos;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auditoria.accion</w:t>
            </w:r>
            <w:r>
              <w:rPr>
                <w:sz w:val="17"/>
                <w:szCs w:val="17"/>
              </w:rPr>
              <w:t xml:space="preserve"> → VARCHAR(40))</w:t>
            </w:r>
          </w:p>
        </w:tc>
      </w:tr>
      <w:tr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Migración 002</w:t>
            </w:r>
          </w:p>
        </w:tc>
        <w:tc>
          <w:tcPr>
            <w:tcW w:type="dxa" w:w="6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solicitudes_verificacion, verificacion_comprobaciones, identificadores_personales, autorizaciones_compra, automation_nonces (+ columnas en usuarios y clientes)</w:t>
            </w:r>
          </w:p>
        </w:tc>
      </w:tr>
      <w:tr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Migración 003</w:t>
            </w:r>
          </w:p>
        </w:tc>
        <w:tc>
          <w:tcPr>
            <w:tcW w:type="dxa" w:w="6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padron_institucional, solicitudes_registro (+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usuarios.estado_cuenta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Orden de creación y consultas de solo lectura: </w:t>
      </w:r>
      <w:hyperlink w:history="1" r:id="rIdxho2h0lf0xeos3j2o_8ma">
        <w:r>
          <w:rPr>
            <w:color w:val="1D4ED8"/>
            <w:u w:val="single"/>
          </w:rPr>
          <w:t xml:space="preserve">Base_de_Datos/</w:t>
        </w:r>
      </w:hyperlink>
      <w:r>
        <w:t xml:space="preserve">.</w:t>
      </w:r>
    </w:p>
    <w:p>
      <w:pPr>
        <w:pStyle w:val="Heading2"/>
        <w:keepNext/>
      </w:pPr>
      <w:r>
        <w:t xml:space="preserve">4. Comandos de mantenimiento del esquema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scripts/migraciones.js estado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scripts/migraciones.js revertir 003_registro_verificado --confirmo-perdida-de-datos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4"/>
        <w:gridCol w:w="5060"/>
        <w:gridCol w:w="2846"/>
      </w:tblGrid>
      <w:tr>
        <w:trPr>
          <w:tblHeader/>
        </w:trPr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Acción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Efecto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Riesgo</w:t>
            </w:r>
          </w:p>
        </w:tc>
      </w:tr>
      <w:tr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001–003 y si están aplicadas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Ninguno (lectura)</w:t>
            </w:r>
          </w:p>
        </w:tc>
      </w:tr>
      <w:tr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revertir 001…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Elimina staff_permisos, documentos_verificacion, verificacion_historial, productos_elegibilidad y columnas añadidas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Pérdida de decisiones, historial, documentos y permisos</w:t>
            </w:r>
          </w:p>
        </w:tc>
      </w:tr>
      <w:tr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revertir 002…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Elimina solicitudes, comprobaciones, identificadores, autorizaciones, nonces, columnas de superadmin y permisos heredados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Pérdida de datos de verificación</w:t>
            </w:r>
          </w:p>
        </w:tc>
      </w:tr>
      <w:tr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revertir 003…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Elimina solicitudes_registro, padron_institucional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usuarios.estado_cuenta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Pérdida de solicitudes</w:t>
            </w:r>
            <w:r>
              <w:rPr>
                <w:sz w:val="17"/>
                <w:szCs w:val="17"/>
              </w:rPr>
              <w:t xml:space="preserve">; las cuentas vuelven a no tener estado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revertir</w:t>
      </w:r>
      <w:r>
        <w:t xml:space="preserve"> no restaura el código anterior: hay que volver a desplegar la versión correspondiente. Probado históricamente en MySQL 8 para la 001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../docs/MODELO_DATOS.md</w:t>
      </w:r>
      <w:r>
        <w:t xml:space="preserve">) — evidencia histórica no reproducida.</w:t>
      </w:r>
    </w:p>
    <w:p>
      <w:pPr>
        <w:pStyle w:val="Heading2"/>
        <w:keepNext/>
      </w:pPr>
      <w:r>
        <w:t xml:space="preserve">5. SQL manual de la migración 003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../backend/sql/003_registro_verificado.sql</w:t>
      </w:r>
      <w:r>
        <w:t xml:space="preserve"> es idempotente (usa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information_schema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PREPARE</w:t>
      </w:r>
      <w:r>
        <w:t xml:space="preserve"> para la columna) e inserta su registro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schema_migraciones</w:t>
      </w:r>
      <w:r>
        <w:t xml:space="preserve">. Úselo solo para revisión o aplicación controlada por un DBA: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 &lt;base&gt; &lt; backend/sql/003_registro_verificado.sql</w:t>
      </w:r>
      <w:r>
        <w:t xml:space="preserve">. </w:t>
      </w:r>
      <w:r>
        <w:rPr>
          <w:i/>
          <w:iCs/>
        </w:rPr>
        <w:t xml:space="preserve">PENDIENTE DE VALIDACIÓN</w:t>
      </w:r>
      <w:r>
        <w:t xml:space="preserve">.</w:t>
      </w:r>
    </w:p>
    <w:p>
      <w:pPr>
        <w:pStyle w:val="Heading2"/>
        <w:keepNext/>
      </w:pPr>
      <w:r>
        <w:t xml:space="preserve">6. Precauciones obligatorias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Nunca</w:t>
      </w:r>
      <w:r>
        <w:t xml:space="preserve"> apunte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de desarrollo ni los scripts de prueba a la base de Clever Cloud (incidente del 2026-10-13,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../docs/AUDITORIA_TECNICA.md</w:t>
      </w:r>
      <w:r>
        <w:t xml:space="preserve"> §7).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Respalde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mysqldump</w:t>
      </w:r>
      <w:r>
        <w:t xml:space="preserve">) y respalde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DOCUMENTOS_DIR</w:t>
      </w:r>
      <w:r>
        <w:t xml:space="preserve"> antes de cualquier despliegue o reversión.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Las claves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CRYPTO_KEY(S)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IDENT_HMAC_KEY</w:t>
      </w:r>
      <w:r>
        <w:t xml:space="preserve"> son necesarias para leer los datos cifrados: sin ellas un respaldo de la base no sirve (RSK</w:t>
        <w:noBreakHyphen/>
        <w:t xml:space="preserve">001).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 suite de integración </w:t>
      </w:r>
      <w:r>
        <w:rPr>
          <w:b/>
          <w:bCs/>
        </w:rPr>
        <w:t xml:space="preserve">borra todas las tablas</w:t>
      </w:r>
      <w:r>
        <w:t xml:space="preserve"> de la base indicada (se niega si no es local o su nombre no contiene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Datos cifrados: no modifique a mano columnas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*_cifrado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*_cifrada</w:t>
      </w:r>
      <w:r>
        <w:t xml:space="preserve"> ni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nit_hash</w:t>
      </w:r>
      <w:r>
        <w:t xml:space="preserve">; el AAD impide moverlos entre columnas.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7tgxnlxs-ypspvmz9of91">
        <w:r>
          <w:rPr>
            <w:color w:val="1D4ED8"/>
            <w:u w:val="single"/>
          </w:rPr>
          <w:t xml:space="preserve">Base_de_Datos/README.docx</w:t>
        </w:r>
      </w:hyperlink>
      <w:r>
        <w:t xml:space="preserve"> · </w:t>
      </w:r>
      <w:hyperlink w:history="1" r:id="rIdqnoqgk4gzm_hg6qdx30b3">
        <w:r>
          <w:rPr>
            <w:color w:val="1D4ED8"/>
            <w:u w:val="single"/>
          </w:rPr>
          <w:t xml:space="preserve">Diagramas/mer-resumido.mmd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3jxgn1au57gp2nazoda_r">
        <w:r>
          <w:rPr>
            <w:color w:val="1D4ED8"/>
            <w:u w:val="single"/>
          </w:rPr>
          <w:t xml:space="preserve">../06_IMPLEMENTACION/06_CONFIGURACION_DE_BASE_DE_DATOS.docx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n6ftdsugu3m8qas3sraj">
        <w:r>
          <w:rPr>
            <w:color w:val="1D4ED8"/>
            <w:u w:val="single"/>
          </w:rPr>
          <w:t xml:space="preserve">../docs/MODELO_DATOS.md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Guía de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6gyv6hrtqxccvvxsp0nwz" Type="http://schemas.openxmlformats.org/officeDocument/2006/relationships/hyperlink" Target="../03_DISENO/05_DISENO_DE_BASE_DE_DATOS.docx" TargetMode="External"/><Relationship Id="rIdtwpl3vpzj8v3i9y_18kpy" Type="http://schemas.openxmlformats.org/officeDocument/2006/relationships/hyperlink" Target="../03_DISENO/07_DICCIONARIO_TECNICO_DE_DATOS.docx" TargetMode="External"/><Relationship Id="rIdxho2h0lf0xeos3j2o_8ma" Type="http://schemas.openxmlformats.org/officeDocument/2006/relationships/hyperlink" Target="Base_de_Datos/README.docx" TargetMode="External"/><Relationship Id="rId7tgxnlxs-ypspvmz9of91" Type="http://schemas.openxmlformats.org/officeDocument/2006/relationships/hyperlink" Target="Base_de_Datos/README.docx" TargetMode="External"/><Relationship Id="rIdqnoqgk4gzm_hg6qdx30b3" Type="http://schemas.openxmlformats.org/officeDocument/2006/relationships/hyperlink" Target="Diagramas/mer-resumido.mmd" TargetMode="External"/><Relationship Id="rId3jxgn1au57gp2nazoda_r" Type="http://schemas.openxmlformats.org/officeDocument/2006/relationships/hyperlink" Target="../06_IMPLEMENTACION/06_CONFIGURACION_DE_BASE_DE_DATOS.docx" TargetMode="External"/><Relationship Id="rIdwn6ftdsugu3m8qas3sraj" Type="http://schemas.openxmlformats.org/officeDocument/2006/relationships/hyperlink" Target="../docs/MODELO_DATOS.md" TargetMode="External"/><Relationship Id="rId16" Type="http://schemas.openxmlformats.org/officeDocument/2006/relationships/image" Target="media/e0be8ae00264855b0e015c7bc53191ed2ff9d43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base de datos</dc:title>
  <dc:creator>Suministros Institucionales — documentación del proyecto</dc:creator>
  <dc:description>Generado a partir de 04_DESARROLLO/09_GUIA_DE_BASE_DE_DATOS.md</dc:description>
  <cp:lastModifiedBy>Un-named</cp:lastModifiedBy>
  <cp:revision>1</cp:revision>
  <dcterms:created xsi:type="dcterms:W3CDTF">2026-10-16T16:29:39.661Z</dcterms:created>
  <dcterms:modified xsi:type="dcterms:W3CDTF">2026-10-16T16:29:39.661Z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