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Listar todas las variables de entorno que el sistema declara o lee, con su propósito, obligatoriedad y módulo. </w:t>
      </w:r>
      <w:r>
        <w:rPr>
          <w:b/>
          <w:bCs/>
        </w:rPr>
        <w:t xml:space="preserve">No contiene valores.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Fuentes: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../backend/.env.example</w:t>
      </w:r>
      <w:r>
        <w:t xml:space="preserve"> (72 variables) y búsqueda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process.env.X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process.env[variable]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backend/scripts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n8n/*.js</w:t>
      </w:r>
      <w:r>
        <w:t xml:space="preserve">. Variables de n8n leídas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$env.X</w:t>
      </w:r>
      <w:r>
        <w:t xml:space="preserve"> en los workflows se listan en §4. Los valores reales viven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 (excluidos de Git, </w:t>
      </w:r>
      <w:r>
        <w:rPr>
          <w:b/>
          <w:bCs/>
        </w:rPr>
        <w:t xml:space="preserve">acceso restringido</w:t>
      </w:r>
      <w:r>
        <w:t xml:space="preserve">). Plantilla comentada: </w:t>
      </w:r>
      <w:hyperlink w:history="1" r:id="rIdsfxx_aid0hqievi2v1seu">
        <w:r>
          <w:rPr>
            <w:color w:val="1D4ED8"/>
            <w:u w:val="single"/>
          </w:rPr>
          <w:t xml:space="preserve">Configuracion/env.ejemplo.documentado.txt</w:t>
        </w:r>
      </w:hyperlink>
      <w:r>
        <w:t xml:space="preserve">.</w:t>
      </w:r>
    </w:p>
    <w:p>
      <w:pPr>
        <w:spacing w:after="120"/>
      </w:pPr>
      <w:r>
        <w:t xml:space="preserve">Leyenda de obligatoriedad: </w:t>
      </w:r>
      <w:r>
        <w:rPr>
          <w:b/>
          <w:bCs/>
        </w:rPr>
        <w:t xml:space="preserve">Arranque</w:t>
      </w:r>
      <w:r>
        <w:t xml:space="preserve"> = sin ella el servidor no inicia · </w:t>
      </w:r>
      <w:r>
        <w:rPr>
          <w:b/>
          <w:bCs/>
        </w:rPr>
        <w:t xml:space="preserve">Prod</w:t>
      </w:r>
      <w:r>
        <w:t xml:space="preserve"> = obligatoria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· </w:t>
      </w:r>
      <w:r>
        <w:rPr>
          <w:b/>
          <w:bCs/>
        </w:rPr>
        <w:t xml:space="preserve">Función</w:t>
      </w:r>
      <w:r>
        <w:t xml:space="preserve"> = necesaria para que una función específica opere · </w:t>
      </w:r>
      <w:r>
        <w:rPr>
          <w:b/>
          <w:bCs/>
        </w:rPr>
        <w:t xml:space="preserve">Opcional</w:t>
      </w:r>
      <w:r>
        <w:t xml:space="preserve"> = tiene valor por defecto o es prescindible · </w:t>
      </w:r>
      <w:r>
        <w:rPr>
          <w:b/>
          <w:bCs/>
        </w:rPr>
        <w:t xml:space="preserve">Sin uso</w:t>
      </w:r>
      <w:r>
        <w:t xml:space="preserve"> = declarada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.env.example</w:t>
      </w:r>
      <w:r>
        <w:t xml:space="preserve"> pero no leída por el código actual.</w:t>
      </w:r>
    </w:p>
    <w:p>
      <w:pPr>
        <w:pStyle w:val="Heading2"/>
        <w:keepNext/>
      </w:pPr>
      <w:r>
        <w:t xml:space="preserve">1. Backend — servidor, base de datos y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1"/>
        <w:gridCol w:w="1958"/>
        <w:gridCol w:w="3323"/>
        <w:gridCol w:w="1078"/>
      </w:tblGrid>
      <w:tr>
        <w:trPr>
          <w:tblHeader/>
        </w:trP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Variable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Obligatoriedad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Propósito / regla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production</w:t>
            </w:r>
            <w:r>
              <w:rPr>
                <w:sz w:val="17"/>
                <w:szCs w:val="17"/>
              </w:rPr>
              <w:t xml:space="preserve"> activa validaciones estrictas, deshabilita simulación de pagos y correo por consola;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  <w:r>
              <w:rPr>
                <w:sz w:val="17"/>
                <w:szCs w:val="17"/>
              </w:rPr>
              <w:t xml:space="preserve"> desactiva limitadores y jobs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Puerto HTTP (código: 8080;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.env.example</w:t>
            </w:r>
            <w:r>
              <w:rPr>
                <w:sz w:val="17"/>
                <w:szCs w:val="17"/>
              </w:rPr>
              <w:t xml:space="preserve">: 8081; el frontend espera 8081, BUG</w:t>
              <w:noBreakHyphen/>
              <w:t xml:space="preserve">003)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separada por comas; sin ella en producción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crearApp</w:t>
            </w:r>
            <w:r>
              <w:rPr>
                <w:sz w:val="17"/>
                <w:szCs w:val="17"/>
              </w:rPr>
              <w:t xml:space="preserve"> lanza error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TRUST_PROXY_HOPS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(0)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Saltos de proxy confiables (entero ≥0)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DB_NAME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Arranque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Conexión MySQL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DB_NAME</w:t>
            </w:r>
            <w:r>
              <w:rPr>
                <w:sz w:val="17"/>
                <w:szCs w:val="17"/>
              </w:rPr>
              <w:t xml:space="preserve"> también usado por scripts para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--confirmar-base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15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DB_CONNECTION_LIMIT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(3, máx. 4)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Tamaño del pool principal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15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Arranque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≥32 caracteres, no de ejemplo; firma HS256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JWT_EXPIRES_IN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2h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Vigencia del access token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REFRESH_EXPIRES_DIAS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(7)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Vigencia del refresh token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 (aviso fuera)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Pepper HMAC de códigos MFA y de compra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BCRYPT_COST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(10 / 12 en prod)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Costo bcrypt (4–15)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REGISTRO_LIMITE_POR_HORA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(10)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Registros por IP y hora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TEST_RATE_LIMITS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pruebas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1</w:t>
            </w:r>
            <w:r>
              <w:rPr>
                <w:sz w:val="17"/>
                <w:szCs w:val="17"/>
              </w:rPr>
              <w:t xml:space="preserve"> activa limitadores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NODE_ENV=test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ADMIN_EMAIL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ADMIN_PASSWORD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(primer admin)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 el primer administrador si no hay ninguno; contraseña ≥12; cambio obligatorio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15</w:t>
            </w:r>
          </w:p>
        </w:tc>
      </w:tr>
      <w:tr>
        <w:tc>
          <w:tcPr>
            <w:tcW w:type="dxa" w:w="30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SUPERADMIN_PASSWORD</w:t>
            </w:r>
          </w:p>
        </w:tc>
        <w:tc>
          <w:tcPr>
            <w:tcW w:type="dxa" w:w="1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script</w:t>
            </w:r>
          </w:p>
        </w:tc>
        <w:tc>
          <w:tcPr>
            <w:tcW w:type="dxa" w:w="3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 inicial para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crear-superadmin.js</w:t>
            </w:r>
            <w:r>
              <w:rPr>
                <w:sz w:val="17"/>
                <w:szCs w:val="17"/>
              </w:rPr>
              <w:t xml:space="preserve"> (≥16); borrar después</w:t>
            </w:r>
          </w:p>
        </w:tc>
        <w:tc>
          <w:tcPr>
            <w:tcW w:type="dxa" w:w="1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Backend — cifrado y claves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6"/>
        <w:gridCol w:w="2170"/>
        <w:gridCol w:w="3184"/>
        <w:gridCol w:w="1040"/>
      </w:tblGrid>
      <w:tr>
        <w:trPr>
          <w:tblHeader/>
        </w:trP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Variable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Obligatoriedad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Propósito / regla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Arranque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64 hex (32 bytes); cifrado por campo del registro verificado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ENC_KEY_VERSION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(1)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 activa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ENC_KEY_V&lt;n&gt;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(rotación)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Claves anteriores para descifrar datos viejos (lectura dinámica)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Arranque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64 hex, distinta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; índices ciegos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 si no hay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 heredada (texto rellenado a 32 bytes, BUG</w:t>
              <w:noBreakHyphen/>
              <w:t xml:space="preserve">013); conservar mientras haya datos con ella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CRYPTO_KEY_ACTIVA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(verificación de identidad)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Anillo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id:base64(32 bytes)</w:t>
            </w:r>
            <w:r>
              <w:rPr>
                <w:sz w:val="17"/>
                <w:szCs w:val="17"/>
              </w:rPr>
              <w:t xml:space="preserve"> y clave activa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 HMAC del documento de identidad (≥32 bytes base64)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RECEIPT_LINK_SECRET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 de enlaces de comprobante (≥32)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09</w:t>
            </w:r>
          </w:p>
        </w:tc>
      </w:tr>
      <w:tr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PAYMENT_WEBHOOK_SECRET</w:t>
            </w:r>
          </w:p>
        </w:tc>
        <w:tc>
          <w:tcPr>
            <w:tcW w:type="dxa" w:w="2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en mock</w:t>
            </w:r>
          </w:p>
        </w:tc>
        <w:tc>
          <w:tcPr>
            <w:tcW w:type="dxa" w:w="31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 de webhooks; en mock se genera aleatorio por proceso si falta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Backend — integraciones y funciones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8"/>
        <w:gridCol w:w="2821"/>
        <w:gridCol w:w="2431"/>
        <w:gridCol w:w="1020"/>
      </w:tblGrid>
      <w:tr>
        <w:trPr>
          <w:tblHeader/>
        </w:trP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Variable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Obligatoriedad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Propósito / regla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PAYMENT_MODE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mock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sandbox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</w:t>
            </w:r>
            <w:r>
              <w:rPr>
                <w:sz w:val="17"/>
                <w:szCs w:val="17"/>
              </w:rPr>
              <w:t xml:space="preserve"> fallan (no implementados)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SMTP_SECURE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SMTP_FROM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SMTP_HOST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Envío de correo; sin SMTP fuera de producción se imprime en consola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09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ADMIN_NOTIFICATION_EMAIL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Destinatario del aviso administrativo de comprobantes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09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RECEIPT_LINK_BASE_URL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URL base del enlace (HTTPS salvo localhost)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09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 (solo lectura)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(alternativa)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 si no hay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PADRON_SYNC_MINUTOS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(10)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Periodo de sincronización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DOCUMENTOS_DIR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Recomendada (defecto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backend/storage/documentos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Carpeta privada de documentos cifrados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VERIFICACION_VIGENCIA_DIAS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(365, máx. 730)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Vigencia de una verificación aprobada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AUTOMATION_STOCK_LOW_THRESHOLD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Umbral de alerta W3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STOCK_MINIMO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(10)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Umbral de inventario bajo (no está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.env.example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06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ASSISTANT_MODE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rules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rules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llm</w:t>
            </w:r>
            <w:r>
              <w:rPr>
                <w:sz w:val="17"/>
                <w:szCs w:val="17"/>
              </w:rPr>
              <w:t xml:space="preserve">; otro valor impide arrancar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OLLAMA_MODEL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(modo llm)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Ollama local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ASSISTANT_WEEKLY_SUMMARY_TOKEN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(W7)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Bearer ≥32 del resumen semanal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N8N_W1_PAYMENT_WEBHOOK_URL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(W1)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URL y secreto HMAC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N8N_W2_DAILY_SUMMARY_TOKEN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(W2)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del resumen diario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N8N_W3_STOCK_WEBHOOK_URL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(W3)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URL y secreto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N8N_W4_EXPIRY_TOKEN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(W4)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de expiración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(W6)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URL y secreto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(W8)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URL y secreto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N8N_W11_VERIFICATION_WEBHOOK_URL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(W11)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Eventos firmados hacia n8n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(W11)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 </w:t>
            </w:r>
            <w:r>
              <w:rPr>
                <w:b/>
                <w:bCs/>
                <w:sz w:val="17"/>
                <w:szCs w:val="17"/>
              </w:rPr>
              <w:t xml:space="preserve">distinto</w:t>
            </w:r>
            <w:r>
              <w:rPr>
                <w:sz w:val="17"/>
                <w:szCs w:val="17"/>
              </w:rPr>
              <w:t xml:space="preserve"> para respuestas de n8n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N8N_W11_MAINTENANCE_TOKEN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(W11)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del mantenimiento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 (W12)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URL o con secreto &lt;32 no se envía nada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N8N_MFA_WEBHOOK_URL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uso funcional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lo consulta el diagnóstico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probar-mfa-n8n.js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N8N_MFA_WEBHOOK_SECRET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N8N_RECEIPT_WEBHOOK_URL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N8N_RECEIPT_WEBHOOK_SECRET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uso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W5/W9 retirados (2026-10-15)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N8N_CHAT_WEBHOOK_URL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N8N_API_TOKEN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uso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leídas por el código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TEST_DB_NAME</w:t>
            </w:r>
          </w:p>
        </w:tc>
        <w:tc>
          <w:tcPr>
            <w:tcW w:type="dxa" w:w="2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pruebas de integración</w:t>
            </w:r>
          </w:p>
        </w:tc>
        <w:tc>
          <w:tcPr>
            <w:tcW w:type="dxa" w:w="2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local (nombre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n8n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, leídas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$env</w:t>
      </w:r>
      <w:r>
        <w:t xml:space="preserve"> en los workflows)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7"/>
        <w:gridCol w:w="2793"/>
      </w:tblGrid>
      <w:tr>
        <w:trPr>
          <w:tblHeader/>
        </w:trP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Variable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Workflows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BACKEND_BASE_URL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W2, W4, W11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ADMIN_ALERT_FROM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ADMIN_ALERT_TO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W1, W2, W3, W11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N8N_W2_DAILY_SUMMARY_TOKEN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N8N_W4_EXPIRY_TOKEN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W1, W3, W2, W4 (iguales a las del backend)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AUTOMATION_FROM_EMAIL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ADMIN_EMAIL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W6, W7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ASSISTANT_WEEKLY_SUMMARY_TOKEN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W7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N8N_W8_ACCOUNT_SECRET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W8 (leída en su nodo Code)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N8N_W11_MAINTENANCE_TOKEN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DATOS_GOV_APP_TOKEN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VERIFICATION_FROM_EMAIL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MFA_FROM_EMAIL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W11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W12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MFA_FROM_EMAIL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 (sin uso)</w:t>
            </w:r>
          </w:p>
        </w:tc>
      </w:tr>
      <w:tr>
        <w:tc>
          <w:tcPr>
            <w:tcW w:type="dxa" w:w="6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NODE_FUNCTION_ALLOW_BUILTIN=crypto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N8N_BLOCK_ENV_ACCESS_IN_NODE=false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EXECUTIONS_DATA_SAVE_ON_SUCCESS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EXECUTIONS_DATA_SAVE_ON_ERROR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N8N_ENCRYPTION_KEY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Configuración del contenedor (la última nunca debe cambiar)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Reglas de manejo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Generar cada secreto aleatorio e independiente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claves:generar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-e "console.log(require('crypto').randomBytes(32).toString('hex'))"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Nunca versionar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, nunca pegarlos en chats, capturas, frontend ni n8n salvo los secretos compartidos estrictamente necesarios.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Guardar respaldo seguro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 fuera del equipo (RSK</w:t>
        <w:noBreakHyphen/>
        <w:t xml:space="preserve">001).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cierra todas las sesiones; rotar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 invalida los índices.</w:t>
      </w:r>
    </w:p>
    <w:p>
      <w:pPr>
        <w:pStyle w:val="Heading2"/>
        <w:keepNext/>
      </w:pPr>
      <w:r>
        <w:t xml:space="preserve">6. Discrepancias con documentación previa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../docs/VARIABLES_ENTORNO.md</w:t>
      </w:r>
      <w:r>
        <w:t xml:space="preserve"> marca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N8N_MFA_WEBHOOK_URL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SECRET</w:t>
      </w:r>
      <w:r>
        <w:t xml:space="preserve"> como obligatorias: ya no lo son (BUG</w:t>
        <w:noBreakHyphen/>
        <w:t xml:space="preserve">008).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N8N_REGISTRO_*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STOCK_MINIMO</w:t>
      </w:r>
      <w:r>
        <w:t xml:space="preserve"> no aparecen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../docs/VARIABLES_ENTORNO.md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umnn5sl8ubkozrht1asln">
        <w:r>
          <w:rPr>
            <w:color w:val="1D4ED8"/>
            <w:u w:val="single"/>
          </w:rPr>
          <w:t xml:space="preserve">Configuracion/README.docx</w:t>
        </w:r>
      </w:hyperlink>
      <w:r>
        <w:t xml:space="preserve"> · </w:t>
      </w:r>
      <w:hyperlink w:history="1" r:id="rId9itibdzigcat-i3cz9qux">
        <w:r>
          <w:rPr>
            <w:color w:val="1D4ED8"/>
            <w:u w:val="single"/>
          </w:rPr>
          <w:t xml:space="preserve">../06_IMPLEMENTACION/04_MANUAL_DE_CONFIGURACION.docx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mltdtkp_knh355dltdmh9">
        <w:r>
          <w:rPr>
            <w:color w:val="1D4ED8"/>
            <w:u w:val="single"/>
          </w:rPr>
          <w:t xml:space="preserve">../docs/VARIABLES_ENTORNO.md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Variables de entorno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sfxx_aid0hqievi2v1seu" Type="http://schemas.openxmlformats.org/officeDocument/2006/relationships/hyperlink" Target="Configuracion/env.ejemplo.documentado.txt" TargetMode="External"/><Relationship Id="rIdumnn5sl8ubkozrht1asln" Type="http://schemas.openxmlformats.org/officeDocument/2006/relationships/hyperlink" Target="Configuracion/README.docx" TargetMode="External"/><Relationship Id="rId9itibdzigcat-i3cz9qux" Type="http://schemas.openxmlformats.org/officeDocument/2006/relationships/hyperlink" Target="../06_IMPLEMENTACION/04_MANUAL_DE_CONFIGURACION.docx" TargetMode="External"/><Relationship Id="rIdmltdtkp_knh355dltdmh9" Type="http://schemas.openxmlformats.org/officeDocument/2006/relationships/hyperlink" Target="../docs/VARIABLES_ENTORNO.m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Variables de entorno</dc:title>
  <dc:creator>Suministros Institucionales — documentación del proyecto</dc:creator>
  <dc:description>Generado a partir de 04_DESARROLLO/11_VARIABLES_DE_ENTORNO.md</dc:description>
  <cp:lastModifiedBy>Un-named</cp:lastModifiedBy>
  <cp:revision>1</cp:revision>
  <dcterms:created xsi:type="dcterms:W3CDTF">2026-10-16T16:29:39.702Z</dcterms:created>
  <dcterms:modified xsi:type="dcterms:W3CDTF">2026-10-16T16:29:39.702Z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