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Orden de creación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0"/>
        <w:gridCol w:w="6110"/>
      </w:tblGrid>
      <w:tr>
        <w:trPr>
          <w:tblHeader/>
        </w:trP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BD</w:t>
              <w:noBreakHyphen/>
              <w:t xml:space="preserve">01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el orden en que el código crea las tablas y sus dependencias por clave foránea, útil para restaurar, depurar o reconstruir una base.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Derivado de la lectura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../../backend/src/db.js</w:t>
      </w:r>
      <w:r>
        <w:t xml:space="preserve"> (líneas 719–1050) y de las migraciones 001–003.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"/>
        <w:gridCol w:w="3094"/>
        <w:gridCol w:w="2487"/>
        <w:gridCol w:w="3127"/>
      </w:tblGrid>
      <w:tr>
        <w:trPr>
          <w:tblHeader/>
        </w:trP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Creada en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Claves foráneas (ON DELETE)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datos_sensibles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→ clientes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categorias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(nombre UNIQUE)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categoria_id → categorias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solicitudes_contacto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atenciones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→ clientes (SET NULL); correo UNIQUE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refresh_tokens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 → usuarios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retos_mfa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 → usuarios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→ clientes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 → pedidos (CASCADE); idempotency_key y referencia_externa UNIQUE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eventos_pago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pago_id → pagos (CASCADE); evento_id UNIQUE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 → pedidos (CASCADE) UNIQUE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correo_outbox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comprobante_id → comprobantes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solicitudes_reenvio_comprobante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comprobante_id → comprobantes, usuario_id → usuarios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automation_outbox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(dedupe_key UNIQUE)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faq_asistente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 (+ 6 FAQ con texto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[COMPLETAR: …]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asistente_pendientes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detalle_pedido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 → pedidos, producto_id → productos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reportes_cliente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→ clientes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auditoria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solicitudes_cuenta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migrarCuentaSegura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usuario_id, cliente_id (CASCADE); resuelta_por → usuarios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schema_migraciones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migraciones/index.js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productos_elegibilidad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producto_id → productos (CASCADE); creado_por → usuarios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verificacion_historial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(CASCADE); actor_usuario_id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documentos_verificacion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(CASCADE); subido_por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staff_permisos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 (CASCADE); otorgado_por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solicitudes_verificacion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(CASCADE); usuario_id, decidida_por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verificacion_comprobaciones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solicitud_id (CASCADE); actor_usuario_id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identificadores_personales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 UNIQUE (CASCADE); usuario_id (SET NULL)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autorizaciones_compra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usuario_id, cliente_id, solicitud_id (CASCADE)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automation_nonces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padron_institucional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(fuente_id UNIQUE; nit_hash no único)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type="dxa" w:w="3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solicitudes_registro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31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usuario_id, cliente_id (CASCADE); decidida_por (SET NULL)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Motor InnoDB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utf8mb4</w:t>
      </w:r>
      <w:r>
        <w:t xml:space="preserve"> en todas. </w:t>
      </w:r>
      <w:r>
        <w:rPr>
          <w:b/>
          <w:bCs/>
        </w:rPr>
        <w:t xml:space="preserve">[INF]</w:t>
      </w:r>
      <w:r>
        <w:t xml:space="preserve"> El orden respeta las dependencias: para restaurar manualmente basta seguir la numeración.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Riesgo de diseño: borrar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</w:t>
      </w:r>
      <w:r>
        <w:t xml:space="preserve"> elimina en cascada sus pedidos, pagos, comprobantes, documentos y solicitudes. </w:t>
      </w:r>
      <w:r>
        <w:rPr>
          <w:b/>
          <w:bCs/>
        </w:rPr>
        <w:t xml:space="preserve">[REC]</w:t>
      </w:r>
      <w:r>
        <w:t xml:space="preserve"> Evaluar borrado lógico antes de usar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DELETE /api/clientes/:id</w:t>
      </w:r>
      <w:r>
        <w:t xml:space="preserve"> con datos reales.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v6c7xs8s_ljsdvnjcqae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oyjtvvpxn-xtnes2h5qcw">
        <w:r>
          <w:rPr>
            <w:color w:val="1D4ED8"/>
            <w:u w:val="single"/>
          </w:rPr>
          <w:t xml:space="preserve">../09_GUIA_DE_BASE_DE_DATOS.docx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Orden de creación de tablas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1v6c7xs8s_ljsdvnjcqae" Type="http://schemas.openxmlformats.org/officeDocument/2006/relationships/hyperlink" Target="README.docx" TargetMode="External"/><Relationship Id="rIdoyjtvvpxn-xtnes2h5qcw" Type="http://schemas.openxmlformats.org/officeDocument/2006/relationships/hyperlink" Target="../09_GUIA_DE_BASE_DE_DATOS.docx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creación de tablas</dc:title>
  <dc:creator>Suministros Institucionales — documentación del proyecto</dc:creator>
  <dc:description>Generado a partir de 04_DESARROLLO/Base_de_Datos/orden-de-creacion-de-tablas.md</dc:description>
  <cp:lastModifiedBy>Un-named</cp:lastModifiedBy>
  <cp:revision>1</cp:revision>
  <dcterms:created xsi:type="dcterms:W3CDTF">2026-10-16T16:29:39.802Z</dcterms:created>
  <dcterms:modified xsi:type="dcterms:W3CDTF">2026-10-16T16:29:39.802Z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