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Estrategia y alcance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Explicar cómo se decide qué probar, con qué técnica y con qué prioridad, y cómo se clasifica el estado de cada caso.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Aplica a todos los casos de </w:t>
      </w:r>
      <w:hyperlink w:history="1" r:id="rIdtxnmhlqft5bs_x1buwgv4">
        <w:r>
          <w:rPr>
            <w:color w:val="1D4ED8"/>
            <w:u w:val="single"/>
          </w:rPr>
          <w:t xml:space="preserve">03_CATALOGO_DE_CASOS_DE_PRUEBA.docx</w:t>
        </w:r>
      </w:hyperlink>
      <w:r>
        <w:t xml:space="preserve"> (TC</w:t>
        <w:noBreakHyphen/>
        <w:t xml:space="preserve">001…TC</w:t>
        <w:noBreakHyphen/>
        <w:t xml:space="preserve">040, TC</w:t>
        <w:noBreakHyphen/>
        <w:t xml:space="preserve">101…TC</w:t>
        <w:noBreakHyphen/>
        <w:t xml:space="preserve">117, TC</w:t>
        <w:noBreakHyphen/>
        <w:t xml:space="preserve">201…TC</w:t>
        <w:noBreakHyphen/>
        <w:t xml:space="preserve">212).</w:t>
      </w:r>
    </w:p>
    <w:p>
      <w:pPr>
        <w:pStyle w:val="Heading2"/>
        <w:keepNext/>
      </w:pPr>
      <w:r>
        <w:t xml:space="preserve">1. Enfoque basado en riesgo</w:t>
      </w:r>
    </w:p>
    <w:p>
      <w:pPr>
        <w:spacing w:after="120"/>
      </w:pPr>
      <w:r>
        <w:t xml:space="preserve">Prioridad de prueba [INF], derivada de la naturaleza del sistema (venta a entidades públicas, productos restringidos, datos personales):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6"/>
        <w:gridCol w:w="4438"/>
        <w:gridCol w:w="3396"/>
      </w:tblGrid>
      <w:tr>
        <w:trPr>
          <w:tblHeader/>
        </w:trPr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Áreas</w:t>
            </w:r>
          </w:p>
        </w:tc>
        <w:tc>
          <w:tcPr>
            <w:tcW w:type="dxa" w:w="3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Motivo</w:t>
            </w:r>
          </w:p>
        </w:tc>
      </w:tr>
      <w:tr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— Crítica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verificado, autenticación MFA, autorización y visibilidad del catálogo, autorización de compra de restringidos, cifrado</w:t>
            </w:r>
          </w:p>
        </w:tc>
        <w:tc>
          <w:tcPr>
            <w:tcW w:type="dxa" w:w="3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fallo permite suplantación o venta indebida (RSK</w:t>
              <w:noBreakHyphen/>
              <w:t xml:space="preserve">009, RSK</w:t>
              <w:noBreakHyphen/>
              <w:t xml:space="preserve">006)</w:t>
            </w:r>
          </w:p>
        </w:tc>
      </w:tr>
      <w:tr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 — Alta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Checkout, pagos mock, expiración de reservas, comprobantes, permisos de staff</w:t>
            </w:r>
          </w:p>
        </w:tc>
        <w:tc>
          <w:tcPr>
            <w:tcW w:type="dxa" w:w="3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Integridad del dinero, del inventario y de las decisiones administrativas</w:t>
            </w:r>
          </w:p>
        </w:tc>
      </w:tr>
      <w:tr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 — Media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 cuenta, clientes, pedidos, auditoría, automatizaciones n8n</w:t>
            </w:r>
          </w:p>
        </w:tc>
        <w:tc>
          <w:tcPr>
            <w:tcW w:type="dxa" w:w="3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 y trazabilidad</w:t>
            </w:r>
          </w:p>
        </w:tc>
      </w:tr>
      <w:tr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 — Baja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Asistente, reportes, i18n, landing, normatividad</w:t>
            </w:r>
          </w:p>
        </w:tc>
        <w:tc>
          <w:tcPr>
            <w:tcW w:type="dxa" w:w="3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Información y experiencia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3"/>
        <w:gridCol w:w="3288"/>
        <w:gridCol w:w="3659"/>
      </w:tblGrid>
      <w:tr>
        <w:trPr>
          <w:tblHeader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Técnica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Dónde se aplica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 actual</w:t>
            </w:r>
          </w:p>
        </w:tc>
      </w:tr>
      <w:t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unitarias con dobles de prueba (base simulada,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simulado)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Reglas, cifrado, firmas, flujos HTTP con supertest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Jest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  <w:r>
              <w:rPr>
                <w:sz w:val="17"/>
                <w:szCs w:val="17"/>
              </w:rPr>
              <w:t xml:space="preserve"> (ejecutadas 2026-10-16)</w:t>
            </w:r>
          </w:p>
        </w:tc>
      </w:tr>
      <w:t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con MySQL real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Transacciones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FOR UPDATE</w:t>
            </w:r>
            <w:r>
              <w:rPr>
                <w:sz w:val="17"/>
                <w:szCs w:val="17"/>
              </w:rPr>
              <w:t xml:space="preserve">, migraciones, escenarios A–L y criterios 1–20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backend/test/integration/*</w:t>
            </w:r>
            <w:r>
              <w:rPr>
                <w:sz w:val="17"/>
                <w:szCs w:val="17"/>
              </w:rPr>
              <w:t xml:space="preserve"> (histórico 2026-10-13)</w:t>
            </w:r>
          </w:p>
        </w:tc>
      </w:tr>
      <w:t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con jsdom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Registro, Mi verificación, panel, catálogo, cambio de contraseña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backend/test/ui/*</w:t>
            </w:r>
            <w:r>
              <w:rPr>
                <w:sz w:val="17"/>
                <w:szCs w:val="17"/>
              </w:rPr>
              <w:t xml:space="preserve"> (histórico 2026-10-13)</w:t>
            </w:r>
          </w:p>
        </w:tc>
      </w:tr>
      <w:t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negativas y de abuso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Firmas inválidas, códigos reutilizados, campos ajenos, límites de tasa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Incluidas en las suites unitarias</w:t>
            </w:r>
          </w:p>
        </w:tc>
      </w:tr>
      <w:t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estática de código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sin autenticación, valores fijos, dependencias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 auditoría (BUG</w:t>
              <w:noBreakHyphen/>
              <w:t xml:space="preserve">001…BUG</w:t>
              <w:noBreakHyphen/>
              <w:t xml:space="preserve">018)</w:t>
            </w:r>
          </w:p>
        </w:tc>
      </w:tr>
      <w:t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Medición de tiempos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Registro, login, aprobar/rechazar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scripts/medir-rendimiento.js</w:t>
            </w:r>
            <w:r>
              <w:rPr>
                <w:sz w:val="17"/>
                <w:szCs w:val="17"/>
              </w:rPr>
              <w:t xml:space="preserve"> (histórico 2026-10-15)</w:t>
            </w:r>
          </w:p>
        </w:tc>
      </w:tr>
      <w:t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manuales exploratorias</w:t>
            </w:r>
          </w:p>
        </w:tc>
        <w:tc>
          <w:tcPr>
            <w:tcW w:type="dxa" w:w="3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Navegador, correo real, n8n</w:t>
            </w:r>
          </w:p>
        </w:tc>
        <w:tc>
          <w:tcPr>
            <w:tcW w:type="dxa" w:w="3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ejecutadas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Clasificación del estado de un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7413"/>
      </w:tblGrid>
      <w:tr>
        <w:trPr>
          <w:tblHeader/>
        </w:trPr>
        <w:tc>
          <w:tcPr>
            <w:tcW w:type="dxa" w:w="1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 aplicada en esta auditoría</w:t>
            </w:r>
          </w:p>
        </w:tc>
      </w:tr>
      <w:tr>
        <w:tc>
          <w:tcPr>
            <w:tcW w:type="dxa" w:w="1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  <w:tc>
          <w:tcPr>
            <w:tcW w:type="dxa" w:w="7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Existe una prueba automatizada que cubre el resultado esperado y </w:t>
            </w:r>
            <w:r>
              <w:rPr>
                <w:b/>
                <w:bCs/>
                <w:sz w:val="17"/>
                <w:szCs w:val="17"/>
              </w:rPr>
              <w:t xml:space="preserve">pasó en la corrida del 2026-10-16</w:t>
            </w:r>
          </w:p>
        </w:tc>
      </w:tr>
      <w:tr>
        <w:tc>
          <w:tcPr>
            <w:tcW w:type="dxa" w:w="1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FALLIDO</w:t>
            </w:r>
          </w:p>
        </w:tc>
        <w:tc>
          <w:tcPr>
            <w:tcW w:type="dxa" w:w="7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ejecutó y no cumplió el resultado esperado (ninguno hoy)</w:t>
            </w:r>
          </w:p>
        </w:tc>
      </w:tr>
      <w:tr>
        <w:tc>
          <w:tcPr>
            <w:tcW w:type="dxa" w:w="1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  <w:tc>
          <w:tcPr>
            <w:tcW w:type="dxa" w:w="7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Existe una forma de probarlo sin infraestructura especial (p. ej. manual en navegador local), pero no se hizo</w:t>
            </w:r>
          </w:p>
        </w:tc>
      </w:tr>
      <w:tr>
        <w:tc>
          <w:tcPr>
            <w:tcW w:type="dxa" w:w="1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  <w:tc>
          <w:tcPr>
            <w:tcW w:type="dxa" w:w="7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Requiere MySQL de pruebas, SMTP, n8n o credenciales que no estaban disponibles</w:t>
            </w:r>
          </w:p>
        </w:tc>
      </w:tr>
      <w:tr>
        <w:tc>
          <w:tcPr>
            <w:tcW w:type="dxa" w:w="1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7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funcionalidad no está implementada (TC</w:t>
              <w:noBreakHyphen/>
              <w:t xml:space="preserve">040, TC</w:t>
              <w:noBreakHyphen/>
              <w:t xml:space="preserve">115, TC</w:t>
              <w:noBreakHyphen/>
              <w:t xml:space="preserve">116)</w:t>
            </w:r>
          </w:p>
        </w:tc>
      </w:tr>
      <w:tr>
        <w:tc>
          <w:tcPr>
            <w:tcW w:type="dxa" w:w="1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APLICA</w:t>
            </w:r>
          </w:p>
        </w:tc>
        <w:tc>
          <w:tcPr>
            <w:tcW w:type="dxa" w:w="7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corresponde al alcance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Un resultado histórico (por ejemplo, integración 48/48 del 2026-10-13 en </w:t>
      </w:r>
      <w:hyperlink w:history="1" r:id="rIdkw9gtugltfovvfgmrk05g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docs/RESULTADOS_PRUEBAS.md</w:t>
        </w:r>
      </w:hyperlink>
      <w:r>
        <w:t xml:space="preserve">) </w:t>
      </w:r>
      <w:r>
        <w:rPr>
          <w:b/>
          <w:bCs/>
        </w:rPr>
        <w:t xml:space="preserve">no</w:t>
      </w:r>
      <w:r>
        <w:t xml:space="preserve"> convierte un caso en APROBADO: se anota como "evidencia histórica no reproducida".</w:t>
      </w:r>
    </w:p>
    <w:p>
      <w:pPr>
        <w:pStyle w:val="Heading2"/>
        <w:keepNext/>
      </w:pPr>
      <w:r>
        <w:t xml:space="preserve">4. Datos de prueba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Solo datos sintéticos: correos con dominio reservado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.test</w:t>
      </w:r>
      <w:r>
        <w:t xml:space="preserve"> (por ejemplo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@suministros-prueba.test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@prueba.test</w:t>
      </w:r>
      <w:r>
        <w:t xml:space="preserve">), NIT con prefijo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</w:t>
      </w:r>
      <w:r>
        <w:t xml:space="preserve">, nombres ficticios (p. ej. "Juan Camilo Rodríguez" de la guía </w:t>
      </w:r>
      <w:hyperlink w:history="1" r:id="rId1pbuzdirc5tmwzlowocx2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docs/REGISTRO_VERIFICADO.md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Nunca datos personales reales, ni la base de Clever Cloud para pruebas que escriban.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Claves y secretos de prueba generados al vuelo por las propias suites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crypto.randomBytes</w:t>
      </w:r>
      <w:r>
        <w:t xml:space="preserve">), nunca los del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.</w:t>
      </w:r>
    </w:p>
    <w:p>
      <w:pPr>
        <w:pStyle w:val="Heading2"/>
        <w:keepNext/>
      </w:pPr>
      <w:r>
        <w:t xml:space="preserve">5. Fuera de alcance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 contra servicios externos (datos.gov.co, SMTP real, Clever Cloud) y ataques reales.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Cobertura de código: </w:t>
      </w:r>
      <w:r>
        <w:rPr>
          <w:b/>
          <w:bCs/>
        </w:rPr>
        <w:t xml:space="preserve">no se midió</w:t>
      </w:r>
      <w:r>
        <w:t xml:space="preserve"> (no hay configuración de cobertura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); no se reportan porcentajes.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g8k3qhkbsfhijetqm-i5">
        <w:r>
          <w:rPr>
            <w:color w:val="1D4ED8"/>
            <w:u w:val="single"/>
          </w:rPr>
          <w:t xml:space="preserve">01_PLAN_DE_PRUEBAS.docx</w:t>
        </w:r>
      </w:hyperlink>
      <w:r>
        <w:t xml:space="preserve"> · </w:t>
      </w:r>
      <w:hyperlink w:history="1" r:id="rIdqxj3roideozjs1gvyytwe">
        <w:r>
          <w:rPr>
            <w:color w:val="1D4ED8"/>
            <w:u w:val="single"/>
          </w:rPr>
          <w:t xml:space="preserve">06_PRUEBAS_DE_SEGURIDAD.docx</w:t>
        </w:r>
      </w:hyperlink>
      <w:r>
        <w:t xml:space="preserve"> · </w:t>
      </w:r>
      <w:hyperlink w:history="1" r:id="rId24gjkyqbsolcc2fjimyzr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../00_GESTION_DEL_PROYECTO/06_MATRIZ_DE_RIESGOS.docx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Estrategia y alcance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xnmhlqft5bs_x1buwgv4" Type="http://schemas.openxmlformats.org/officeDocument/2006/relationships/hyperlink" Target="03_CATALOGO_DE_CASOS_DE_PRUEBA.docx" TargetMode="External"/><Relationship Id="rIdkw9gtugltfovvfgmrk05g" Type="http://schemas.openxmlformats.org/officeDocument/2006/relationships/hyperlink" Target="../docs/RESULTADOS_PRUEBAS.md" TargetMode="External"/><Relationship Id="rId1pbuzdirc5tmwzlowocx2" Type="http://schemas.openxmlformats.org/officeDocument/2006/relationships/hyperlink" Target="../docs/REGISTRO_VERIFICADO.md" TargetMode="External"/><Relationship Id="rIdkg8k3qhkbsfhijetqm-i5" Type="http://schemas.openxmlformats.org/officeDocument/2006/relationships/hyperlink" Target="01_PLAN_DE_PRUEBAS.docx" TargetMode="External"/><Relationship Id="rIdqxj3roideozjs1gvyytwe" Type="http://schemas.openxmlformats.org/officeDocument/2006/relationships/hyperlink" Target="06_PRUEBAS_DE_SEGURIDAD.docx" TargetMode="External"/><Relationship Id="rId24gjkyqbsolcc2fjimyzr" Type="http://schemas.openxmlformats.org/officeDocument/2006/relationships/hyperlink" Target="../00_GESTION_DEL_PROYECTO/06_MATRIZ_DE_RIESGOS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y alcance de pruebas</dc:title>
  <dc:creator>Suministros Institucionales — documentación del proyecto</dc:creator>
  <dc:description>Generado a partir de 05_PRUEBAS/02_ESTRATEGIA_Y_ALCANCE_DE_PRUEBAS.md</dc:description>
  <cp:lastModifiedBy>Un-named</cp:lastModifiedBy>
  <cp:revision>1</cp:revision>
  <dcterms:created xsi:type="dcterms:W3CDTF">2026-10-16T16:29:39.930Z</dcterms:created>
  <dcterms:modified xsi:type="dcterms:W3CDTF">2026-10-16T16:29:39.930Z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