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Pruebas de integración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05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las pruebas que integran el backend con MySQL real, con la interfaz (jsdom) y con servicios externos (SMTP, n8n), su estado y cómo ejecutarlas de forma segura.</w:t>
      </w:r>
    </w:p>
    <w:p>
      <w:pPr>
        <w:pStyle w:val="Heading2"/>
        <w:keepNext/>
      </w:pPr>
      <w:r>
        <w:t xml:space="preserve">Alcance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backend/test/integration/verificacion.int.spec.js</w:t>
      </w:r>
      <w:r>
        <w:t xml:space="preserve"> (escenarios A–L)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backend/test/integration/compra-verificada.int.spec.js</w:t>
      </w:r>
      <w:r>
        <w:t xml:space="preserve"> (criterios 1–20), con ayudantes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backend/test/integration/ayudantes.js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backend/test/ui/servidor-prueba.js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backend/test/ui/ui-e2e.js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Integraciones externas: SMTP (nodemailer), n8n, fuente del padrón, datos.gov.co (vía W11).</w:t>
      </w:r>
    </w:p>
    <w:p>
      <w:pPr>
        <w:pStyle w:val="Heading2"/>
        <w:keepNext/>
      </w:pPr>
      <w:r>
        <w:t xml:space="preserve">1. Estado al 2026-10-16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3"/>
        <w:gridCol w:w="1584"/>
        <w:gridCol w:w="5283"/>
      </w:tblGrid>
      <w:tr>
        <w:trPr>
          <w:tblHeader/>
        </w:trPr>
        <w:tc>
          <w:tcPr>
            <w:tcW w:type="dxa" w:w="2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1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5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Motivo</w:t>
            </w:r>
          </w:p>
        </w:tc>
      </w:tr>
      <w:tr>
        <w:tc>
          <w:tcPr>
            <w:tcW w:type="dxa" w:w="2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↔ MySQL (suite de integración)</w:t>
            </w:r>
          </w:p>
        </w:tc>
        <w:tc>
          <w:tcPr>
            <w:tcW w:type="dxa" w:w="1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BLOQUEADO</w:t>
            </w:r>
          </w:p>
        </w:tc>
        <w:tc>
          <w:tcPr>
            <w:tcW w:type="dxa" w:w="5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había un MySQL 8 de pruebas en Docker disponible en esta auditoría; la suite no debe correrse contra Clever Cloud</w:t>
            </w:r>
          </w:p>
        </w:tc>
      </w:tr>
      <w:tr>
        <w:tc>
          <w:tcPr>
            <w:tcW w:type="dxa" w:w="2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Interfaz jsdom</w:t>
            </w:r>
          </w:p>
        </w:tc>
        <w:tc>
          <w:tcPr>
            <w:tcW w:type="dxa" w:w="1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BLOQUEADO</w:t>
            </w:r>
          </w:p>
        </w:tc>
        <w:tc>
          <w:tcPr>
            <w:tcW w:type="dxa" w:w="5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Requiere el servidor de prueba en :8091 y la base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suministros_ui_test</w:t>
            </w:r>
            <w:r>
              <w:rPr>
                <w:sz w:val="17"/>
                <w:szCs w:val="17"/>
              </w:rPr>
              <w:t xml:space="preserve"> vacía</w:t>
            </w:r>
          </w:p>
        </w:tc>
      </w:tr>
      <w:tr>
        <w:tc>
          <w:tcPr>
            <w:tcW w:type="dxa" w:w="2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↔ SMTP</w:t>
            </w:r>
          </w:p>
        </w:tc>
        <w:tc>
          <w:tcPr>
            <w:tcW w:type="dxa" w:w="1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BLOQUEADO</w:t>
            </w:r>
          </w:p>
        </w:tc>
        <w:tc>
          <w:tcPr>
            <w:tcW w:type="dxa" w:w="5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se envían correos reales en una auditoría documental; las suites unitarias simulan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</w:p>
        </w:tc>
      </w:tr>
      <w:tr>
        <w:tc>
          <w:tcPr>
            <w:tcW w:type="dxa" w:w="2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↔ n8n</w:t>
            </w:r>
          </w:p>
        </w:tc>
        <w:tc>
          <w:tcPr>
            <w:tcW w:type="dxa" w:w="1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BLOQUEADO</w:t>
            </w:r>
          </w:p>
        </w:tc>
        <w:tc>
          <w:tcPr>
            <w:tcW w:type="dxa" w:w="5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Instancia n8n y credenciales no disponibles; todos los workflows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active: false</w:t>
            </w:r>
          </w:p>
        </w:tc>
      </w:tr>
      <w:tr>
        <w:tc>
          <w:tcPr>
            <w:tcW w:type="dxa" w:w="2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↔ fuente del padrón</w:t>
            </w:r>
          </w:p>
        </w:tc>
        <w:tc>
          <w:tcPr>
            <w:tcW w:type="dxa" w:w="1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BLOQUEADO</w:t>
            </w:r>
          </w:p>
        </w:tc>
        <w:tc>
          <w:tcPr>
            <w:tcW w:type="dxa" w:w="5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fuente es una base remota de laboratorio</w:t>
            </w:r>
          </w:p>
        </w:tc>
      </w:tr>
      <w:tr>
        <w:tc>
          <w:tcPr>
            <w:tcW w:type="dxa" w:w="2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↔ datos.gov.co (W11)</w:t>
            </w:r>
          </w:p>
        </w:tc>
        <w:tc>
          <w:tcPr>
            <w:tcW w:type="dxa" w:w="1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BLOQUEADO</w:t>
            </w:r>
          </w:p>
        </w:tc>
        <w:tc>
          <w:tcPr>
            <w:tcW w:type="dxa" w:w="5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se contactan servicios externos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Evidencia histórica (no reproducida): integración </w:t>
      </w:r>
      <w:r>
        <w:rPr>
          <w:b/>
          <w:bCs/>
        </w:rPr>
        <w:t xml:space="preserve">48/48</w:t>
      </w:r>
      <w:r>
        <w:t xml:space="preserve"> e interfaz </w:t>
      </w:r>
      <w:r>
        <w:rPr>
          <w:b/>
          <w:bCs/>
        </w:rPr>
        <w:t xml:space="preserve">43/43</w:t>
      </w:r>
      <w:r>
        <w:t xml:space="preserve"> el 2026-10-13 en MySQL 8 Docker puerto 3307 (</w:t>
      </w:r>
      <w:hyperlink w:history="1" r:id="rIdf6xyiskz0rpms4kexobhq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docs/RESULTADOS_PRUEBAS.md</w:t>
        </w:r>
      </w:hyperlink>
      <w:r>
        <w:t xml:space="preserve">).</w:t>
      </w:r>
    </w:p>
    <w:p>
      <w:pPr>
        <w:pStyle w:val="Heading2"/>
        <w:keepNext/>
      </w:pPr>
      <w:r>
        <w:t xml:space="preserve">2. Cómo ejecutar la integración (entorno autorizado)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Levantar MySQL 8 local (valores entre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&lt; &gt;</w:t>
      </w:r>
      <w:r>
        <w:t xml:space="preserve"> los define el ejecutor; no registrarlos en documentos):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run -d --name suministros-test-mysql -e MYSQL_ROOT_PASSWORD=&lt;root&gt; \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-e MYSQL_DATABASE=suministros_test -e MYSQL_USER=test -e MYSQL_PASSWORD=&lt;clave&gt; -p 3307:3306 mysql:8.0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Definir en el entorno del proceso: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TEST_DB_HOST=127.0.0.1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TEST_DB_PORT=3307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TEST_DB_USER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TEST_DB_PASSWORD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TEST_DB_NAME=suministros_test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test:integration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Advertencia [OBS]:</w:t>
      </w:r>
      <w:r>
        <w:t xml:space="preserve"> la suite </w:t>
      </w:r>
      <w:r>
        <w:rPr>
          <w:b/>
          <w:bCs/>
        </w:rPr>
        <w:t xml:space="preserve">borra todas las tablas</w:t>
      </w:r>
      <w:r>
        <w:t xml:space="preserve"> de la base indicada; por eso se niega a ejecutarse si la base no es local o su nombre no contiene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</w:t>
      </w:r>
      <w:r>
        <w:t xml:space="preserve">. Detener cualquier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dev</w:t>
      </w:r>
      <w:r>
        <w:t xml:space="preserve"> apuntado a otra base para no aplicar migraciones donde no corresponde (incidente del 2026-10-13, </w:t>
      </w:r>
      <w:hyperlink w:history="1" r:id="rIdl2bdefkqvc2aaf9uadono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docs/AUDITORIA_TECNICA.md</w:t>
        </w:r>
      </w:hyperlink>
      <w:r>
        <w:t xml:space="preserve"> §7).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Interfaz: terminal 1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test/ui/servidor-prueba.js</w:t>
      </w:r>
      <w:r>
        <w:t xml:space="preserve">; terminal 2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test/ui/ui-e2e.js</w:t>
      </w:r>
      <w:r>
        <w:t xml:space="preserve">. Reiniciar el servidor entre corridas (límite de 10 logins por IP cada 15 min).</w:t>
      </w:r>
    </w:p>
    <w:p>
      <w:pPr>
        <w:pStyle w:val="Heading2"/>
        <w:keepNext/>
      </w:pPr>
      <w:r>
        <w:t xml:space="preserve">3. Casos de integración que se desbloquean</w:t>
      </w:r>
    </w:p>
    <w:p>
      <w:pPr>
        <w:spacing w:after="120"/>
      </w:pPr>
      <w:r>
        <w:t xml:space="preserve">TC</w:t>
        <w:noBreakHyphen/>
        <w:t xml:space="preserve">003, TC</w:t>
        <w:noBreakHyphen/>
        <w:t xml:space="preserve">008, TC</w:t>
        <w:noBreakHyphen/>
        <w:t xml:space="preserve">014.b, TC</w:t>
        <w:noBreakHyphen/>
        <w:t xml:space="preserve">015…TC</w:t>
        <w:noBreakHyphen/>
        <w:t xml:space="preserve">017, TC</w:t>
        <w:noBreakHyphen/>
        <w:t xml:space="preserve">019, TC</w:t>
        <w:noBreakHyphen/>
        <w:t xml:space="preserve">021, TC</w:t>
        <w:noBreakHyphen/>
        <w:t xml:space="preserve">023, TC</w:t>
        <w:noBreakHyphen/>
        <w:t xml:space="preserve">024, TC</w:t>
        <w:noBreakHyphen/>
        <w:t xml:space="preserve">027, TC</w:t>
        <w:noBreakHyphen/>
        <w:t xml:space="preserve">028.b, TC</w:t>
        <w:noBreakHyphen/>
        <w:t xml:space="preserve">029, TC</w:t>
        <w:noBreakHyphen/>
        <w:t xml:space="preserve">030, TC</w:t>
        <w:noBreakHyphen/>
        <w:t xml:space="preserve">032…TC</w:t>
        <w:noBreakHyphen/>
        <w:t xml:space="preserve">034, TC</w:t>
        <w:noBreakHyphen/>
        <w:t xml:space="preserve">037.b, TC</w:t>
        <w:noBreakHyphen/>
        <w:t xml:space="preserve">109, TC</w:t>
        <w:noBreakHyphen/>
        <w:t xml:space="preserve">205…TC</w:t>
        <w:noBreakHyphen/>
        <w:t xml:space="preserve">207, TC</w:t>
        <w:noBreakHyphen/>
        <w:t xml:space="preserve">211.</w:t>
      </w:r>
    </w:p>
    <w:p>
      <w:pPr>
        <w:pStyle w:val="Heading2"/>
        <w:keepNext/>
      </w:pPr>
      <w:r>
        <w:t xml:space="preserve">4. Integraciones externas (manuales)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5"/>
        <w:gridCol w:w="4906"/>
        <w:gridCol w:w="2699"/>
      </w:tblGrid>
      <w:tr>
        <w:trPr>
          <w:tblHeader/>
        </w:trPr>
        <w:tc>
          <w:tcPr>
            <w:tcW w:type="dxa" w:w="1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4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Procedimiento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Precaución</w:t>
            </w:r>
          </w:p>
        </w:tc>
      </w:tr>
      <w:tr>
        <w:tc>
          <w:tcPr>
            <w:tcW w:type="dxa" w:w="1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SMTP</w:t>
            </w:r>
          </w:p>
        </w:tc>
        <w:tc>
          <w:tcPr>
            <w:tcW w:type="dxa" w:w="4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Mailpit local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SMTP_HOST=localhost</w:t>
            </w:r>
            <w:r>
              <w:rPr>
                <w:sz w:val="17"/>
                <w:szCs w:val="17"/>
              </w:rPr>
              <w:t xml:space="preserve">, puerto 1025) y revisar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http://localhost:8025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usar buzones reales</w:t>
            </w:r>
          </w:p>
        </w:tc>
      </w:tr>
      <w:tr>
        <w:tc>
          <w:tcPr>
            <w:tcW w:type="dxa" w:w="1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W12</w:t>
            </w:r>
          </w:p>
        </w:tc>
        <w:tc>
          <w:tcPr>
            <w:tcW w:type="dxa" w:w="4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Importar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n8n/workflows/W12-avisos-registro.json</w:t>
            </w:r>
            <w:r>
              <w:rPr>
                <w:sz w:val="17"/>
                <w:szCs w:val="17"/>
              </w:rPr>
              <w:t xml:space="preserve">, definir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N8N_REGISTRO_SECRET</w:t>
            </w:r>
            <w:r>
              <w:rPr>
                <w:sz w:val="17"/>
                <w:szCs w:val="17"/>
              </w:rPr>
              <w:t xml:space="preserve"> igual en ambos lados, activar y registrar una solicitud sintética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debe llegar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{evento, solicitud_id, resultado}</w:t>
            </w:r>
          </w:p>
        </w:tc>
      </w:tr>
      <w:tr>
        <w:tc>
          <w:tcPr>
            <w:tcW w:type="dxa" w:w="1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W1–W4, W6–W8, W11</w:t>
            </w:r>
          </w:p>
        </w:tc>
        <w:tc>
          <w:tcPr>
            <w:tcW w:type="dxa" w:w="4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Según </w:t>
            </w:r>
            <w:hyperlink w:history="1" r:id="rIdpy-cuuvvgn6ucfr0lxl1d">
              <w:r>
                <w:rPr>
                  <w:rFonts w:ascii="Consolas" w:cs="Consolas" w:eastAsia="Consolas" w:hAnsi="Consolas"/>
                  <w:color w:val="1D4ED8"/>
                  <w:sz w:val="16"/>
                  <w:szCs w:val="16"/>
                  <w:u w:val="single"/>
                  <w:shd w:fill="F1F5F9" w:color="auto" w:val="clear"/>
                </w:rPr>
                <w:t xml:space="preserve">backend/README.md</w:t>
              </w:r>
            </w:hyperlink>
            <w:r>
              <w:rPr>
                <w:sz w:val="17"/>
                <w:szCs w:val="17"/>
              </w:rPr>
              <w:t xml:space="preserve"> y </w:t>
            </w:r>
            <w:hyperlink w:history="1" r:id="rIdfagiaqmq0eaits_lyevjm">
              <w:r>
                <w:rPr>
                  <w:rFonts w:ascii="Consolas" w:cs="Consolas" w:eastAsia="Consolas" w:hAnsi="Consolas"/>
                  <w:color w:val="1D4ED8"/>
                  <w:sz w:val="16"/>
                  <w:szCs w:val="16"/>
                  <w:u w:val="single"/>
                  <w:shd w:fill="F1F5F9" w:color="auto" w:val="clear"/>
                </w:rPr>
                <w:t xml:space="preserve">docs/FLUJO_N8N_VERIFICACION.md</w:t>
              </w:r>
            </w:hyperlink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W5 y W9 están sin uso desde 2026-10-15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eau46k0shrqgcyuma384c">
        <w:r>
          <w:rPr>
            <w:color w:val="1D4ED8"/>
            <w:u w:val="single"/>
          </w:rPr>
          <w:t xml:space="preserve">01_PLAN_DE_PRUEBAS.docx</w:t>
        </w:r>
      </w:hyperlink>
      <w:r>
        <w:t xml:space="preserve"> · </w:t>
      </w:r>
      <w:hyperlink w:history="1" r:id="rIdqhdffblpg18c4d6xfotf-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../docs/PLAN_PRUEBAS.md</w:t>
        </w:r>
      </w:hyperlink>
      <w:r>
        <w:t xml:space="preserve"> · </w:t>
      </w:r>
      <w:hyperlink w:history="1" r:id="rIdzwhyxzlxdgvqf10b7b4vp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../04_DESARROLLO/10_INTEGRACIONES_Y_AUTOMATIZACIONES.docx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Pruebas de integración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f6xyiskz0rpms4kexobhq" Type="http://schemas.openxmlformats.org/officeDocument/2006/relationships/hyperlink" Target="../docs/RESULTADOS_PRUEBAS.md" TargetMode="External"/><Relationship Id="rIdl2bdefkqvc2aaf9uadono" Type="http://schemas.openxmlformats.org/officeDocument/2006/relationships/hyperlink" Target="../docs/AUDITORIA_TECNICA.md" TargetMode="External"/><Relationship Id="rIdpy-cuuvvgn6ucfr0lxl1d" Type="http://schemas.openxmlformats.org/officeDocument/2006/relationships/hyperlink" Target="../backend/README.md" TargetMode="External"/><Relationship Id="rIdfagiaqmq0eaits_lyevjm" Type="http://schemas.openxmlformats.org/officeDocument/2006/relationships/hyperlink" Target="../docs/FLUJO_N8N_VERIFICACION.md" TargetMode="External"/><Relationship Id="rIdeau46k0shrqgcyuma384c" Type="http://schemas.openxmlformats.org/officeDocument/2006/relationships/hyperlink" Target="01_PLAN_DE_PRUEBAS.docx" TargetMode="External"/><Relationship Id="rIdqhdffblpg18c4d6xfotf-" Type="http://schemas.openxmlformats.org/officeDocument/2006/relationships/hyperlink" Target="../docs/PLAN_PRUEBAS.md" TargetMode="External"/><Relationship Id="rIdzwhyxzlxdgvqf10b7b4vp" Type="http://schemas.openxmlformats.org/officeDocument/2006/relationships/hyperlink" Target="../04_DESARROLLO/10_INTEGRACIONES_Y_AUTOMATIZACIONES.docx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integración</dc:title>
  <dc:creator>Suministros Institucionales — documentación del proyecto</dc:creator>
  <dc:description>Generado a partir de 05_PRUEBAS/05_PRUEBAS_DE_INTEGRACION.md</dc:description>
  <cp:lastModifiedBy>Un-named</cp:lastModifiedBy>
  <cp:revision>1</cp:revision>
  <dcterms:created xsi:type="dcterms:W3CDTF">2026-10-16T16:29:39.992Z</dcterms:created>
  <dcterms:modified xsi:type="dcterms:W3CDTF">2026-10-16T16:29:39.992Z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