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Pruebas de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07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Documentar los objetivos de tiempo de respuesta (REQ</w:t>
        <w:noBreakHyphen/>
        <w:t xml:space="preserve">NF</w:t>
        <w:noBreakHyphen/>
        <w:t xml:space="preserve">006), la herramienta de medición existente y las mediciones disponibles, distinguiendo claramente lo histórico de lo ejecutado en esta auditoría.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Registro, login, aprobación, rechazo y contador de solicitudes; p95 del asistente en modo reglas. No incluye pruebas de carga ni de estrés (no existen en el repositorio).</w:t>
      </w:r>
    </w:p>
    <w:p>
      <w:pPr>
        <w:pStyle w:val="Heading2"/>
        <w:keepNext/>
      </w:pPr>
      <w:r>
        <w:t xml:space="preserve">1. Estado</w:t>
      </w:r>
    </w:p>
    <w:p>
      <w:pPr>
        <w:spacing w:after="120"/>
      </w:pPr>
      <w:r>
        <w:rPr>
          <w:b/>
          <w:bCs/>
        </w:rPr>
        <w:t xml:space="preserve">En esta auditoría no se realizó ninguna medición de rendimiento</w:t>
      </w:r>
      <w:r>
        <w:t xml:space="preserve"> [OBS]. TC</w:t>
        <w:noBreakHyphen/>
        <w:t xml:space="preserve">106 está BLOQUEADO porque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  <w:r>
        <w:t xml:space="preserve"> usa la base real configurada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y requiere autorización.</w:t>
      </w:r>
    </w:p>
    <w:p>
      <w:pPr>
        <w:spacing w:after="120"/>
      </w:pPr>
      <w:r>
        <w:t xml:space="preserve">Única métrica ejecutada hoy: la prueba unitaria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«p95 del modo reglas permanece por debajo de 150 ms» pasó (motor en memoria, sin red ni base).</w:t>
      </w:r>
    </w:p>
    <w:p>
      <w:pPr>
        <w:pStyle w:val="Heading2"/>
        <w:keepNext/>
      </w:pPr>
      <w:r>
        <w:t xml:space="preserve">2. Mediciones históricas (2026-10-15, no reproducidas)</w:t>
      </w:r>
    </w:p>
    <w:p>
      <w:pPr>
        <w:spacing w:after="120"/>
      </w:pPr>
      <w:r>
        <w:t xml:space="preserve">Fuente: </w:t>
      </w:r>
      <w:hyperlink w:history="1" r:id="rIdkp-pi-a-kwmfkrdiy2whw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docs/REGISTRO_VERIFICADO.md</w:t>
        </w:r>
      </w:hyperlink>
      <w:r>
        <w:t xml:space="preserve"> §5. Equipo de laboratorio, ~150 ms por viaje a MySQL (Clever Cloud), bcrypt costo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9"/>
        <w:gridCol w:w="1820"/>
        <w:gridCol w:w="2601"/>
        <w:gridCol w:w="1700"/>
      </w:tblGrid>
      <w:tr>
        <w:trPr>
          <w:tblHeader/>
        </w:trP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Operación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Mediana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p95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(202)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360 ms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863 ms (primer registro tras arrancar)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600 ms</w:t>
            </w:r>
          </w:p>
        </w:tc>
      </w:tr>
      <w:t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paso 1 (202)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421 ms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423 ms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600 ms</w:t>
            </w:r>
          </w:p>
        </w:tc>
      </w:tr>
      <w:t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fallido (401)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246 ms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246 ms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600 ms</w:t>
            </w:r>
          </w:p>
        </w:tc>
      </w:tr>
      <w:t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Aprobar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192 ms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193 ms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300 ms</w:t>
            </w:r>
          </w:p>
        </w:tc>
      </w:tr>
      <w:t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Rechazar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176 ms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176 ms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300 ms</w:t>
            </w:r>
          </w:p>
        </w:tc>
      </w:tr>
      <w:tr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Contador de pendientes</w:t>
            </w:r>
          </w:p>
        </w:tc>
        <w:tc>
          <w:tcPr>
            <w:tcW w:type="dxa" w:w="1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161 ms</w:t>
            </w:r>
          </w:p>
        </w:tc>
        <w:tc>
          <w:tcPr>
            <w:tcW w:type="dxa" w:w="2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167 ms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300 ms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Estos valores son una referencia del autor original; no fueron verificados por esta auditoría.</w:t>
      </w:r>
    </w:p>
    <w:p>
      <w:pPr>
        <w:pStyle w:val="Heading2"/>
        <w:keepNext/>
      </w:pPr>
      <w:r>
        <w:t xml:space="preserve">3. Cómo ejecutar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  <w:r>
        <w:t xml:space="preserve"> (solo en entorno autorizado)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Obtener autorización del responsable de la base (PENDIENTE DE ASIGNACIÓN): el script crea cuentas sintéticas en la base real y las borra al terminar.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Detener el servidor</w:t>
      </w:r>
      <w:r>
        <w:t xml:space="preserve"> antes de ejecutar: la base permite 5 conexiones por usuario y el servidor usa hasta 4 (RSK</w:t>
        <w:noBreakHyphen/>
        <w:t xml:space="preserve">004).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scripts/medir-rendimiento.js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Registrar fecha, commit, ubicación del equipo, latencia de red y resultados en </w:t>
      </w:r>
      <w:hyperlink w:history="1" r:id="rId4lln9hp-jpw-2zpjpyycm">
        <w:r>
          <w:rPr>
            <w:color w:val="1D4ED8"/>
            <w:u w:val="single"/>
          </w:rPr>
          <w:t xml:space="preserve">10_RESULTADOS_DE_EJECUCION.docx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Preferir una base de pruebas cercana al servidor para mediciones repetibles.</w:t>
      </w:r>
    </w:p>
    <w:p>
      <w:pPr>
        <w:pStyle w:val="Heading2"/>
        <w:keepNext/>
      </w:pPr>
      <w:r>
        <w:t xml:space="preserve">4. Factores conocidos [INF]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latencia a la base domina los tiempos; con el backend desplegado junto a la base se espera una reducción importante (afirmación del documento histórico, no verificada).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pool limitado (3 + 1, REQ</w:t>
        <w:noBreakHyphen/>
        <w:t xml:space="preserve">NF</w:t>
        <w:noBreakHyphen/>
        <w:t xml:space="preserve">007) restringe la concurrencia.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bcrypt con costo 12 en producción aumentará el tiempo del registro y el login respecto al laboratorio.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k5hgcqkuujzny_ods2hei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(TC</w:t>
        <w:noBreakHyphen/>
        <w:t xml:space="preserve">106, TC</w:t>
        <w:noBreakHyphen/>
        <w:t xml:space="preserve">107) · </w:t>
      </w:r>
      <w:hyperlink w:history="1" r:id="rIdaouy4hf94jcrudejbflyc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../backend/scripts/medir-rendimiento.js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Pruebas de rendimiento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kp-pi-a-kwmfkrdiy2whw" Type="http://schemas.openxmlformats.org/officeDocument/2006/relationships/hyperlink" Target="../docs/REGISTRO_VERIFICADO.md" TargetMode="External"/><Relationship Id="rId4lln9hp-jpw-2zpjpyycm" Type="http://schemas.openxmlformats.org/officeDocument/2006/relationships/hyperlink" Target="10_RESULTADOS_DE_EJECUCION.docx" TargetMode="External"/><Relationship Id="rIdk5hgcqkuujzny_ods2hei" Type="http://schemas.openxmlformats.org/officeDocument/2006/relationships/hyperlink" Target="03_CATALOGO_DE_CASOS_DE_PRUEBA.docx" TargetMode="External"/><Relationship Id="rIdaouy4hf94jcrudejbflyc" Type="http://schemas.openxmlformats.org/officeDocument/2006/relationships/hyperlink" Target="../backend/scripts/medir-rendimiento.j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rendimiento</dc:title>
  <dc:creator>Suministros Institucionales — documentación del proyecto</dc:creator>
  <dc:description>Generado a partir de 05_PRUEBAS/07_PRUEBAS_DE_RENDIMIENTO.md</dc:description>
  <cp:lastModifiedBy>Un-named</cp:lastModifiedBy>
  <cp:revision>1</cp:revision>
  <dcterms:created xsi:type="dcterms:W3CDTF">2026-10-16T16:29:40.012Z</dcterms:created>
  <dcterms:modified xsi:type="dcterms:W3CDTF">2026-10-16T16:29:40.012Z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