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Guía de despliegue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77"/>
        <w:gridCol w:w="6083"/>
      </w:tblGrid>
      <w:tr>
        <w:trPr>
          <w:tblHeader/>
        </w:trP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 documental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06</w:t>
              <w:noBreakHyphen/>
              <w:t xml:space="preserve">05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Versión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BORRADOR — PENDIENTE DE VALIDACIÓN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Fecha de generación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2026-10-16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Responsable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 base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rama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feature/verificacion-seguridad</w:t>
            </w:r>
            <w:r>
              <w:rPr>
                <w:sz w:val="17"/>
                <w:szCs w:val="17"/>
              </w:rPr>
              <w:t xml:space="preserve">, commit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4742737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Propósito</w:t>
      </w:r>
    </w:p>
    <w:p>
      <w:pPr>
        <w:spacing w:after="120"/>
      </w:pPr>
      <w:r>
        <w:t xml:space="preserve">Describir cómo desplegar una versión del sistema en un entorno destino de forma controlada.</w:t>
      </w:r>
    </w:p>
    <w:p>
      <w:pPr>
        <w:pStyle w:val="Heading2"/>
        <w:keepNext/>
      </w:pPr>
      <w:r>
        <w:t xml:space="preserve">Alcance</w:t>
      </w:r>
    </w:p>
    <w:p>
      <w:pPr>
        <w:spacing w:after="120"/>
        <w:sectPr>
          <w:headerReference w:type="default" r:id="rId6"/>
          <w:footerReference w:type="default" r:id="rId7"/>
          <w:pgSz w:w="12240" w:h="15840" w:orient="portrait"/>
          <w:pgMar w:top="1440" w:right="1440" w:bottom="1440" w:left="1440" w:header="600" w:footer="600" w:gutter="0"/>
          <w:pgNumType/>
          <w:docGrid w:linePitch="360"/>
        </w:sectPr>
      </w:pPr>
      <w:r>
        <w:t xml:space="preserve">Despliegue manual de un proceso Node.js (servidor propio o PaaS con consola), conectado a MySQL 8. </w:t>
      </w:r>
      <w:r>
        <w:rPr>
          <w:b/>
          <w:bCs/>
        </w:rPr>
        <w:t xml:space="preserve">[OBS]</w:t>
      </w:r>
      <w:r>
        <w:t xml:space="preserve"> No existe CI/CD, Dockerfile del backend ni scripts de despliegue en el repositorio. </w:t>
      </w:r>
      <w:r>
        <w:rPr>
          <w:b/>
          <w:bCs/>
        </w:rPr>
        <w:t xml:space="preserve">Todo este procedimiento está PENDIENTE DE VALIDAR</w:t>
      </w:r>
      <w:r>
        <w:t xml:space="preserve">: no se desplegó nada en esta auditoría.</w:t>
      </w:r>
    </w:p>
    <w:p>
      <w:pPr>
        <w:pStyle w:val="Heading2"/>
        <w:keepNext/>
      </w:pPr>
      <w:r>
        <w:t xml:space="preserve">Arquitectura de despliegue</w:t>
      </w:r>
    </w:p>
    <w:p>
      <w:pPr>
        <w:spacing w:after="160" w:before="80" w:line="240"/>
        <w:jc w:val="center"/>
        <w:sectPr>
          <w:headerReference w:type="default" r:id="rId8"/>
          <w:footerReference w:type="default" r:id="rId9"/>
          <w:pgSz w:w="15840" w:h="12240" w:orient="landscape"/>
          <w:pgMar w:top="1440" w:right="1440" w:bottom="1440" w:left="1440" w:header="600" w:footer="600" w:gutter="0"/>
          <w:pgNumType/>
          <w:docGrid w:linePitch="360"/>
        </w:sectPr>
      </w:pPr>
      <w:r>
        <w:drawing>
          <wp:inline distT="0" distB="0" distL="0" distR="0">
            <wp:extent cx="8191500" cy="3800475"/>
            <wp:effectExtent t="0" r="0" b="0" l="0"/>
            <wp:docPr id="44" name="diagrama" descr="Diagrama generado a partir de Mermaid" title="Dia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Precondiciones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Versión identificada (commit o etiqueta; hoy no hay etiquetas — BUG</w:t>
        <w:noBreakHyphen/>
        <w:t xml:space="preserve">018).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npm test</w:t>
      </w:r>
      <w:r>
        <w:t xml:space="preserve"> aprobado sobre esa versión;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npm run test:integration</w:t>
      </w:r>
      <w:r>
        <w:t xml:space="preserve"> aprobado contra un MySQL de pruebas (no ejecutado en esta auditoría).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Respaldo de base,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DOCUMENTOS_DIR</w:t>
      </w:r>
      <w:r>
        <w:t xml:space="preserve"> y claves (</w:t>
      </w:r>
      <w:hyperlink w:history="1" r:id="rId1dtsr_qesmvd-jwnbnvi1">
        <w:r>
          <w:rPr>
            <w:color w:val="1D4ED8"/>
            <w:u w:val="single"/>
          </w:rPr>
          <w:t xml:space="preserve">09</w:t>
        </w:r>
      </w:hyperlink>
      <w: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Lista </w:t>
      </w:r>
      <w:hyperlink w:history="1" r:id="rIdx-wfkgnoeia5fqmji0gml">
        <w:r>
          <w:rPr>
            <w:color w:val="1D4ED8"/>
            <w:u w:val="single"/>
          </w:rPr>
          <w:t xml:space="preserve">13_LISTA_DE_VERIFICACION_PREPRODUCCION.docx</w:t>
        </w:r>
      </w:hyperlink>
      <w:r>
        <w:t xml:space="preserve"> revisada.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Corrección o aceptación formal de BUG</w:t>
        <w:noBreakHyphen/>
        <w:t xml:space="preserve">001 (reportes sin autenticación), BUG</w:t>
        <w:noBreakHyphen/>
        <w:t xml:space="preserve">003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API_BASE</w:t>
      </w:r>
      <w:r>
        <w:t xml:space="preserve"> fijo), BUG</w:t>
        <w:noBreakHyphen/>
        <w:t xml:space="preserve">006 (nodemailer) y BUG</w:t>
        <w:noBreakHyphen/>
        <w:t xml:space="preserve">012 (HTTPS/CSP/HSTS).</w:t>
      </w:r>
    </w:p>
    <w:p>
      <w:pPr>
        <w:pStyle w:val="Heading2"/>
        <w:keepNext/>
      </w:pPr>
      <w:r>
        <w:t xml:space="preserve">Procedimiento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Detener</w:t>
      </w:r>
      <w:r>
        <w:t xml:space="preserve"> la versión anterior (si existe). Con una sola instancia, habrá indisponibilidad durante el cambio.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Respaldar</w:t>
      </w:r>
      <w:r>
        <w:t xml:space="preserve"> la base: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mysqldump</w:t>
      </w:r>
      <w:r>
        <w:t xml:space="preserve"> (ver </w:t>
      </w:r>
      <w:hyperlink w:history="1" r:id="rId3vreribaqiqz00j0ssl3o">
        <w:r>
          <w:rPr>
            <w:color w:val="1D4ED8"/>
            <w:u w:val="single"/>
          </w:rPr>
          <w:t xml:space="preserve">09</w:t>
        </w:r>
      </w:hyperlink>
      <w:r>
        <w:t xml:space="preserve">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Obtener</w:t>
      </w:r>
      <w:r>
        <w:t xml:space="preserve"> el código de la versión: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git fetch</w:t>
      </w:r>
      <w:r>
        <w:t xml:space="preserve"> y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git checkout &lt;commit|etiqueta&gt;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Instalar</w:t>
      </w:r>
      <w:r>
        <w:t xml:space="preserve"> dependencias de producción: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cd backend &amp;&amp; npm ci --omit=dev</w:t>
      </w:r>
      <w:r>
        <w:t xml:space="preserve"> </w:t>
      </w:r>
      <w:r>
        <w:rPr>
          <w:b/>
          <w:bCs/>
        </w:rPr>
        <w:t xml:space="preserve">[REC]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npm ci</w:t>
      </w:r>
      <w:r>
        <w:t xml:space="preserve"> requiere el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package-lock.json</w:t>
      </w:r>
      <w:r>
        <w:t xml:space="preserve"> existente).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Configurar</w:t>
      </w:r>
      <w:r>
        <w:t xml:space="preserve"> el entorno (</w:t>
      </w:r>
      <w:hyperlink w:history="1" r:id="rIdeycgj2doynmxg3ezgnzli">
        <w:r>
          <w:rPr>
            <w:color w:val="1D4ED8"/>
            <w:u w:val="single"/>
          </w:rPr>
          <w:t xml:space="preserve">04</w:t>
        </w:r>
      </w:hyperlink>
      <w:r>
        <w:t xml:space="preserve">). En producción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NODE_ENV=production</w:t>
      </w:r>
      <w:r>
        <w:t xml:space="preserve">) el arranque </w:t>
      </w:r>
      <w:r>
        <w:rPr>
          <w:b/>
          <w:bCs/>
        </w:rPr>
        <w:t xml:space="preserve">falla</w:t>
      </w:r>
      <w:r>
        <w:t xml:space="preserve"> si:</w:t>
      </w:r>
    </w:p>
    <w:p>
      <w:pPr>
        <w:pStyle w:val="ListParagraph"/>
        <w:numPr>
          <w:ilvl w:val="1"/>
          <w:numId w:val="4"/>
        </w:numPr>
        <w:spacing w:after="40"/>
      </w:pPr>
      <w:r>
        <w:t xml:space="preserve">falta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CORS_ORIGINS</w:t>
      </w:r>
      <w:r>
        <w:t xml:space="preserve">;</w:t>
      </w:r>
    </w:p>
    <w:p>
      <w:pPr>
        <w:pStyle w:val="ListParagraph"/>
        <w:numPr>
          <w:ilvl w:val="1"/>
          <w:numId w:val="4"/>
        </w:numPr>
        <w:spacing w:after="40"/>
      </w:pPr>
      <w:r>
        <w:t xml:space="preserve">falta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SMTP_HOST</w:t>
      </w:r>
      <w:r>
        <w:t xml:space="preserve">;</w:t>
      </w:r>
    </w:p>
    <w:p>
      <w:pPr>
        <w:pStyle w:val="ListParagraph"/>
        <w:numPr>
          <w:ilvl w:val="1"/>
          <w:numId w:val="4"/>
        </w:numPr>
        <w:spacing w:after="40"/>
      </w:pP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JWT_SECRET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MFA_TOKEN_PEPPER</w:t>
      </w:r>
      <w:r>
        <w:t xml:space="preserve"> o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CRYPTO_KEY</w:t>
      </w:r>
      <w:r>
        <w:t xml:space="preserve"> son débiles o de ejemplo;</w:t>
      </w:r>
    </w:p>
    <w:p>
      <w:pPr>
        <w:pStyle w:val="ListParagraph"/>
        <w:numPr>
          <w:ilvl w:val="1"/>
          <w:numId w:val="4"/>
        </w:numPr>
        <w:spacing w:after="40"/>
      </w:pP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ENC_KEY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HMAC_KEY</w:t>
      </w:r>
      <w:r>
        <w:t xml:space="preserve"> no son válidas;</w:t>
      </w:r>
    </w:p>
    <w:p>
      <w:pPr>
        <w:pStyle w:val="ListParagraph"/>
        <w:numPr>
          <w:ilvl w:val="1"/>
          <w:numId w:val="4"/>
        </w:numPr>
        <w:spacing w:after="40"/>
      </w:pP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PAYMENT_MODE</w:t>
      </w:r>
      <w:r>
        <w:t xml:space="preserve"> es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sandbox</w:t>
      </w:r>
      <w:r>
        <w:t xml:space="preserve"> o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prod</w:t>
      </w:r>
      <w:r>
        <w:t xml:space="preserve"> (no hay adaptador real), </w:t>
      </w:r>
      <w:r>
        <w:rPr>
          <w:b/>
          <w:bCs/>
        </w:rPr>
        <w:t xml:space="preserve">y también si es </w:t>
      </w:r>
      <w:r>
        <w:rPr>
          <w:rFonts w:ascii="Consolas" w:cs="Consolas" w:eastAsia="Consolas" w:hAnsi="Consolas"/>
          <w:b/>
          <w:bCs/>
          <w:sz w:val="19"/>
          <w:szCs w:val="19"/>
          <w:shd w:fill="F1F5F9" w:color="auto" w:val="clear"/>
        </w:rPr>
        <w:t xml:space="preserve">mock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crearPaymentProvider()</w:t>
      </w:r>
      <w:r>
        <w:t xml:space="preserve"> prohíbe el proveedor mock con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NODE_ENV=production</w:t>
      </w:r>
      <w:r>
        <w:t xml:space="preserve"> (</w:t>
      </w:r>
      <w:hyperlink w:history="1" r:id="rIdjcjewnlrpy33ydwxrpixa">
        <w:r>
          <w:rPr>
            <w:color w:val="1D4ED8"/>
            <w:u w:val="single"/>
          </w:rPr>
          <w:t xml:space="preserve">../backend/src/paymentProvider.js</w:t>
        </w:r>
      </w:hyperlink>
      <w:r>
        <w:t xml:space="preserve">).</w:t>
      </w:r>
    </w:p>
    <w:p>
      <w:pPr>
        <w:spacing w:after="120"/>
      </w:pPr>
      <w:r>
        <w:rPr>
          <w:b/>
          <w:bCs/>
        </w:rPr>
        <w:t xml:space="preserve">Bloqueo [OBS]:</w:t>
      </w:r>
      <w:r>
        <w:t xml:space="preserve"> con el código actual </w:t>
      </w:r>
      <w:r>
        <w:rPr>
          <w:b/>
          <w:bCs/>
        </w:rPr>
        <w:t xml:space="preserve">no existe ninguna combinación válida para arrancar con </w:t>
      </w:r>
      <w:r>
        <w:rPr>
          <w:rFonts w:ascii="Consolas" w:cs="Consolas" w:eastAsia="Consolas" w:hAnsi="Consolas"/>
          <w:b/>
          <w:bCs/>
          <w:sz w:val="19"/>
          <w:szCs w:val="19"/>
          <w:shd w:fill="F1F5F9" w:color="auto" w:val="clear"/>
        </w:rPr>
        <w:t xml:space="preserve">NODE_ENV=production</w:t>
      </w:r>
      <w:r>
        <w:t xml:space="preserve">: mock está prohibido y sandbox/prod no están implementados (REQ</w:t>
        <w:noBreakHyphen/>
        <w:t xml:space="preserve">F</w:t>
        <w:noBreakHyphen/>
        <w:t xml:space="preserve">040, RSK</w:t>
        <w:noBreakHyphen/>
        <w:t xml:space="preserve">015). Un despliegue productivo real queda </w:t>
      </w:r>
      <w:r>
        <w:rPr>
          <w:b/>
          <w:bCs/>
        </w:rPr>
        <w:t xml:space="preserve">BLOQUEADO</w:t>
      </w:r>
      <w:r>
        <w:t xml:space="preserve"> hasta implementar un adaptador de pasarela o tomar una decisión de diseño (p. ej. modo catálogo/cotización sin pagos). Mientras tanto solo es posible operar sin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NODE_ENV=production</w:t>
      </w:r>
      <w:r>
        <w:t xml:space="preserve"> (modo laboratorio/demostración), con las consecuencias descritas en "Advertencias".
Además conviene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TRUST_PROXY_HOPS=1</w:t>
      </w:r>
      <w:r>
        <w:t xml:space="preserve"> detrás de un proxy,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BCRYPT_COST=12</w:t>
      </w:r>
      <w:r>
        <w:t xml:space="preserve"> y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DOCUMENTOS_DIR</w:t>
      </w:r>
      <w:r>
        <w:t xml:space="preserve"> en almacenamiento persistente.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Frontend</w:t>
      </w:r>
      <w:r>
        <w:t xml:space="preserve">: confirmar que el origen público coincide con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API_BASE</w:t>
      </w:r>
      <w:r>
        <w:t xml:space="preserve"> de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frontend/js/auth.js</w:t>
      </w:r>
      <w:r>
        <w:t xml:space="preserve"> (hoy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http://localhost:8081</w:t>
      </w:r>
      <w:r>
        <w:t xml:space="preserve">, BUG</w:t>
        <w:noBreakHyphen/>
        <w:t xml:space="preserve">003). Si no coincide, la aplicación web no podrá llamar a la API.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Arrancar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npm start</w:t>
      </w:r>
      <w:r>
        <w:t xml:space="preserve">. Las migraciones se aplican </w:t>
      </w:r>
      <w:r>
        <w:rPr>
          <w:b/>
          <w:bCs/>
        </w:rPr>
        <w:t xml:space="preserve">automáticamente</w:t>
      </w:r>
      <w:r>
        <w:t xml:space="preserve"> en el arranque (DDL tolerante en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db.js</w:t>
      </w:r>
      <w:r>
        <w:t xml:space="preserve"> y versionadas 001–003 en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schema_migraciones</w:t>
      </w:r>
      <w:r>
        <w:t xml:space="preserve">). </w:t>
      </w:r>
      <w:r>
        <w:rPr>
          <w:b/>
          <w:bCs/>
        </w:rPr>
        <w:t xml:space="preserve">No existe un modo "sin migrar"</w:t>
      </w:r>
      <w:r>
        <w:t xml:space="preserve">: por eso el respaldo del paso 2 es obligatorio.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Verificar</w:t>
      </w:r>
      <w:r>
        <w:t xml:space="preserve"> el log de arranque: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[db] Tablas verificadas/creadas correctamente.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[migraciones] … aplicada.</w:t>
      </w:r>
      <w:r>
        <w:t xml:space="preserve"> (si había pendientes) y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[server] Backend corriendo en …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Comprobar migraciones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node scripts/migraciones.js estado</w:t>
      </w:r>
      <w:r>
        <w:t xml:space="preserve"> (con el servidor detenido o considerando el límite de conexiones).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Pruebas de humo</w:t>
      </w:r>
      <w:r>
        <w:t xml:space="preserve"> (sin datos reales):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GET /</w:t>
      </w:r>
      <w:r>
        <w:t xml:space="preserve"> responde,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GET /api/auth/registro/tipos</w:t>
      </w:r>
      <w:r>
        <w:t xml:space="preserve"> responde,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GET /api/auth/captcha</w:t>
      </w:r>
      <w:r>
        <w:t xml:space="preserve"> devuelve un SVG, inicio de sesión con una cuenta autorizada recibe el código.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Si algo falla: </w:t>
      </w:r>
      <w:hyperlink w:history="1" r:id="rIdp5qq0qj2typ0hnuwpxinq">
        <w:r>
          <w:rPr>
            <w:color w:val="1D4ED8"/>
            <w:u w:val="single"/>
          </w:rPr>
          <w:t xml:space="preserve">10_PLAN_DE_ROLLBACK.docx</w:t>
        </w:r>
      </w:hyperlink>
      <w:r>
        <w:t xml:space="preserve">.</w:t>
      </w:r>
    </w:p>
    <w:p>
      <w:pPr>
        <w:pStyle w:val="Heading2"/>
        <w:keepNext/>
      </w:pPr>
      <w:r>
        <w:t xml:space="preserve">Advertencias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[OBS]</w:t>
      </w:r>
      <w:r>
        <w:t xml:space="preserve"> Incidente histórico (docs/AUDITORIA_TECNICA §7):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npm run dev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node --watch</w:t>
      </w:r>
      <w:r>
        <w:t xml:space="preserve">) apuntando a la base real aplicó una migración al guardar un archivo. Nunca usar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npm run dev</w:t>
      </w:r>
      <w:r>
        <w:t xml:space="preserve"> contra producción (RSK</w:t>
        <w:noBreakHyphen/>
        <w:t xml:space="preserve">003).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[OBS]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/api/pagos/dev/simular-webhook</w:t>
      </w:r>
      <w:r>
        <w:t xml:space="preserve"> solo se deshabilita con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NODE_ENV=production</w:t>
      </w:r>
      <w:r>
        <w:t xml:space="preserve"> o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PAYMENT_MODE=prod</w:t>
      </w:r>
      <w:r>
        <w:t xml:space="preserve">; un entorno con datos reales sin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NODE_ENV=production</w:t>
      </w:r>
      <w:r>
        <w:t xml:space="preserve"> lo deja activo.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[OBS]</w:t>
      </w:r>
      <w:r>
        <w:t xml:space="preserve"> Una sola instancia (BUG</w:t>
        <w:noBreakHyphen/>
        <w:t xml:space="preserve">010).</w:t>
      </w:r>
    </w:p>
    <w:p>
      <w:pPr>
        <w:pStyle w:val="Heading2"/>
        <w:keepNext/>
      </w:pPr>
      <w:r>
        <w:t xml:space="preserve">Referencias</w:t>
      </w:r>
    </w:p>
    <w:p>
      <w:pPr>
        <w:pStyle w:val="ListParagraph"/>
        <w:numPr>
          <w:ilvl w:val="0"/>
          <w:numId w:val="4"/>
        </w:numPr>
        <w:spacing w:after="40"/>
      </w:pPr>
      <w:hyperlink w:history="1" r:id="rIda9c8oxhxp1-llyht3zisv">
        <w:r>
          <w:rPr>
            <w:color w:val="1D4ED8"/>
            <w:u w:val="single"/>
          </w:rPr>
          <w:t xml:space="preserve">../docs/GUIA_INSTALACION_Y_DESPLIEGUE.md</w:t>
        </w:r>
      </w:hyperlink>
    </w:p>
    <w:p>
      <w:pPr>
        <w:pStyle w:val="ListParagraph"/>
        <w:numPr>
          <w:ilvl w:val="0"/>
          <w:numId w:val="4"/>
        </w:numPr>
        <w:spacing w:after="40"/>
      </w:pPr>
      <w:hyperlink w:history="1" r:id="rIdg0fagjlh0ino97ab7xcb-">
        <w:r>
          <w:rPr>
            <w:color w:val="1D4ED8"/>
            <w:u w:val="single"/>
          </w:rPr>
          <w:t xml:space="preserve">../backend/server.js</w:t>
        </w:r>
      </w:hyperlink>
    </w:p>
    <w:p>
      <w:pPr>
        <w:pStyle w:val="ListParagraph"/>
        <w:numPr>
          <w:ilvl w:val="0"/>
          <w:numId w:val="4"/>
        </w:numPr>
        <w:spacing w:after="40"/>
      </w:pPr>
      <w:hyperlink w:history="1" r:id="rIdsegwvlqny7vocwdqr4cvq">
        <w:r>
          <w:rPr>
            <w:color w:val="1D4ED8"/>
            <w:u w:val="single"/>
          </w:rPr>
          <w:t xml:space="preserve">14_PROCEDIMIENTO_DE_PUESTA_EN_MARCHA.docx</w:t>
        </w:r>
      </w:hyperlink>
    </w:p>
    <w:sectPr>
      <w:headerReference w:type="default" r:id="rId10"/>
      <w:footerReference w:type="default" r:id="rId11"/>
      <w:pgSz w:w="12240" w:h="15840" w:orient="portrait"/>
      <w:pgMar w:top="1440" w:right="1440" w:bottom="1440" w:left="1440" w:header="600" w:footer="6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Guía de despliegue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Guía de despliegue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Guía de despliegue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  <w:lvl w:ilvl="3" w:tentative="1">
      <w:start w:val="1"/>
      <w:numFmt w:val="bullet"/>
      <w:lvlText w:val="•"/>
      <w:lvlJc w:val="left"/>
      <w:pPr>
        <w:ind w:left="1440" w:hanging="260"/>
      </w:pPr>
    </w:lvl>
    <w:lvl w:ilvl="4" w:tentative="1">
      <w:start w:val="1"/>
      <w:numFmt w:val="bullet"/>
      <w:lvlText w:val="◦"/>
      <w:lvlJc w:val="left"/>
      <w:pPr>
        <w:ind w:left="1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60"/>
      </w:pPr>
    </w:lvl>
    <w:lvl w:ilvl="1" w:tentative="1">
      <w:start w:val="1"/>
      <w:numFmt w:val="decimal"/>
      <w:lvlText w:val="%2."/>
      <w:lvlJc w:val="left"/>
      <w:pPr>
        <w:ind w:left="720" w:hanging="260"/>
      </w:pPr>
    </w:lvl>
    <w:lvl w:ilvl="2" w:tentative="1">
      <w:start w:val="1"/>
      <w:numFmt w:val="decimal"/>
      <w:lvlText w:val="%3."/>
      <w:lvlJc w:val="left"/>
      <w:pPr>
        <w:ind w:left="1080" w:hanging="260"/>
      </w:pPr>
    </w:lvl>
    <w:lvl w:ilvl="3" w:tentative="1">
      <w:start w:val="1"/>
      <w:numFmt w:val="decimal"/>
      <w:lvlText w:val="%4."/>
      <w:lvlJc w:val="left"/>
      <w:pPr>
        <w:ind w:left="1440" w:hanging="260"/>
      </w:pPr>
    </w:lvl>
    <w:lvl w:ilvl="4" w:tentative="1">
      <w:start w:val="1"/>
      <w:numFmt w:val="decimal"/>
      <w:lvlText w:val="%5."/>
      <w:lvlJc w:val="left"/>
      <w:pPr>
        <w:ind w:left="180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color w:val="0B2D4A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0B2D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B2D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E3A5F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1E3A5F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theme" Target="theme/theme1.xml"/><Relationship Id="rId1dtsr_qesmvd-jwnbnvi1" Type="http://schemas.openxmlformats.org/officeDocument/2006/relationships/hyperlink" Target="09_PLAN_DE_RESPALDO_Y_RESTAURACION.docx" TargetMode="External"/><Relationship Id="rIdx-wfkgnoeia5fqmji0gml" Type="http://schemas.openxmlformats.org/officeDocument/2006/relationships/hyperlink" Target="13_LISTA_DE_VERIFICACION_PREPRODUCCION.docx" TargetMode="External"/><Relationship Id="rId3vreribaqiqz00j0ssl3o" Type="http://schemas.openxmlformats.org/officeDocument/2006/relationships/hyperlink" Target="09_PLAN_DE_RESPALDO_Y_RESTAURACION.docx" TargetMode="External"/><Relationship Id="rIdeycgj2doynmxg3ezgnzli" Type="http://schemas.openxmlformats.org/officeDocument/2006/relationships/hyperlink" Target="04_MANUAL_DE_CONFIGURACION.docx" TargetMode="External"/><Relationship Id="rIdjcjewnlrpy33ydwxrpixa" Type="http://schemas.openxmlformats.org/officeDocument/2006/relationships/hyperlink" Target="../backend/src/paymentProvider.js" TargetMode="External"/><Relationship Id="rIdp5qq0qj2typ0hnuwpxinq" Type="http://schemas.openxmlformats.org/officeDocument/2006/relationships/hyperlink" Target="10_PLAN_DE_ROLLBACK.docx" TargetMode="External"/><Relationship Id="rIda9c8oxhxp1-llyht3zisv" Type="http://schemas.openxmlformats.org/officeDocument/2006/relationships/hyperlink" Target="../docs/GUIA_INSTALACION_Y_DESPLIEGUE.md" TargetMode="External"/><Relationship Id="rIdg0fagjlh0ino97ab7xcb-" Type="http://schemas.openxmlformats.org/officeDocument/2006/relationships/hyperlink" Target="../backend/server.js" TargetMode="External"/><Relationship Id="rIdsegwvlqny7vocwdqr4cvq" Type="http://schemas.openxmlformats.org/officeDocument/2006/relationships/hyperlink" Target="14_PROCEDIMIENTO_DE_PUESTA_EN_MARCHA.docx" TargetMode="External"/><Relationship Id="rId22" Type="http://schemas.openxmlformats.org/officeDocument/2006/relationships/image" Target="media/9495a0379dc533f92657e977d0c7e2e0a23f59f1.png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despliegue</dc:title>
  <dc:creator>Suministros Institucionales — documentación del proyecto</dc:creator>
  <dc:description>Generado a partir de 06_IMPLEMENTACION/05_GUIA_DE_DESPLIEGUE.md</dc:description>
  <cp:lastModifiedBy>Un-named</cp:lastModifiedBy>
  <cp:revision>1</cp:revision>
  <dcterms:created xsi:type="dcterms:W3CDTF">2026-10-16T16:29:40.168Z</dcterms:created>
  <dcterms:modified xsi:type="dcterms:W3CDTF">2026-10-16T16:29:40.168Z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