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Manual técnico y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Guiar al personal técnico y administrativo en las tareas de operación: cuentas privilegiadas, aprobaciones, permisos, padrón, diagnóstico y comandos.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Comandos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../backend/scripts/</w:t>
      </w:r>
      <w:r>
        <w:t xml:space="preserve"> y funciones administrativas de la interfaz. Ningún comando se ejecutó en esta auditoría (PENDIENTE DE VALIDAR), 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[REC]</w:t>
      </w:r>
      <w:r>
        <w:t xml:space="preserve"> Antes de ejecutar cualquier script que abra conexiones, detener el servidor (límite de 5 conexiones, RSK</w:t>
        <w:noBreakHyphen/>
        <w:t xml:space="preserve">004) y confirmar que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apunta a la base correcta.</w:t>
      </w:r>
    </w:p>
    <w:p>
      <w:pPr>
        <w:pStyle w:val="Heading2"/>
        <w:keepNext/>
      </w:pPr>
      <w:r>
        <w:t xml:space="preserve">1. Comandos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97"/>
        <w:gridCol w:w="4963"/>
      </w:tblGrid>
      <w:tr>
        <w:trPr>
          <w:tblHeader/>
        </w:trP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Comando (desde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F1F5F9" w:color="auto" w:val="clear"/>
              </w:rPr>
              <w:t xml:space="preserve">backend/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Función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start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Arranca el servidor (aplica migraciones)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dev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Arranque con recarga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--watch</w:t>
            </w:r>
            <w:r>
              <w:rPr>
                <w:sz w:val="17"/>
                <w:szCs w:val="17"/>
              </w:rPr>
              <w:t xml:space="preserve">); </w:t>
            </w:r>
            <w:r>
              <w:rPr>
                <w:b/>
                <w:bCs/>
                <w:sz w:val="17"/>
                <w:szCs w:val="17"/>
              </w:rPr>
              <w:t xml:space="preserve">nunca contra producción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+ node:test (sin base real) — Verificado 2026-10-16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test:integration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 contra MySQL local de pruebas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claves:generar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Agrega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las claves que falten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) con respaldo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padron:importar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Fuerza la copia cifrada del padrón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medir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Mide tiempos contra la base real con cuentas sintéticas que luego borra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scripts/migraciones.js estado | revertir &lt;v&gt; --confirmo-perdida-de-datos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y reversión de migraciones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scripts/crear-superadmin.js …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</w:tr>
      <w:tr>
        <w:tc>
          <w:tcPr>
            <w:tcW w:type="dxa" w:w="4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scripts/crear-cuentas-prueba.js …</w:t>
            </w:r>
          </w:p>
        </w:tc>
        <w:tc>
          <w:tcPr>
            <w:tcW w:type="dxa" w:w="4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Cuentas sintéticas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Crear el superadministrador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Opción A: contraseña propia (16 a 72 caracteres) sin dejarla en el historial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read -s SUPERADMIN_PASSWORD &amp;&amp; export SUPERADMIN_PASSWORD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scripts/crear-superadmin.js --correo &lt;correo&gt; --confirmar-base &lt;DB_NAME&gt;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unset SUPERADMIN_PASSWORD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Opción B: contraseña aleatoria mostrada una sola vez (solo terminal interactiva)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scripts/crear-superadmin.js --correo &lt;correo&gt; --confirmar-base &lt;DB_NAME&gt;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--confirmar-base</w:t>
      </w:r>
      <w:r>
        <w:t xml:space="preserve"> debe coincidir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DB_NAME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--promover</w:t>
      </w:r>
      <w:r>
        <w:t xml:space="preserve"> convierte un administrador existente;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--adicional</w:t>
      </w:r>
      <w:r>
        <w:t xml:space="preserve"> crea un segundo superadministrador. No convierte cuentas de cliente.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cuenta queda con cambio obligatorio de contraseña y MFA. Queda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hay endpoint HTTP para crear superadministradores (RN</w:t>
        <w:noBreakHyphen/>
        <w:t xml:space="preserve">018).</w:t>
      </w:r>
    </w:p>
    <w:p>
      <w:pPr>
        <w:pStyle w:val="Heading2"/>
        <w:keepNext/>
      </w:pPr>
      <w:r>
        <w:t xml:space="preserve">3. Administrador inicial</w:t>
      </w:r>
    </w:p>
    <w:p>
      <w:pPr>
        <w:spacing w:after="120"/>
      </w:pPr>
      <w:r>
        <w:t xml:space="preserve">Se crea al arrancar solo si no hay administradores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ADMIN_EMAIL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(≥ 12) están definidos. Recibe los permisos de staff excepto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, </w:t>
      </w:r>
      <w:r>
        <w:rPr>
          <w:b/>
          <w:bCs/>
        </w:rPr>
        <w:t xml:space="preserve">no</w:t>
      </w:r>
      <w:r>
        <w:t xml:space="preserve"> es superadministrador y debe cambiar la contraseña. La contraseña no se escribe en los registros.</w:t>
      </w:r>
    </w:p>
    <w:p>
      <w:pPr>
        <w:pStyle w:val="Heading2"/>
        <w:keepNext/>
      </w:pPr>
      <w:r>
        <w:t xml:space="preserve">4. Cuentas de prueba sintéticas (solo laboratorio)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scripts/crear-cuentas-prueba.js --confirmar-base &lt;DB_NAME&gt; [--salida ruta]</w:t>
      </w:r>
    </w:p>
    <w:p>
      <w:pPr>
        <w:spacing w:after="120"/>
      </w:pPr>
      <w:r>
        <w:t xml:space="preserve">Se niega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o si el nombre de la base no contiene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local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prueba</w:t>
      </w:r>
      <w:r>
        <w:t xml:space="preserve">. Correos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@suministros-prueba.test</w:t>
      </w:r>
      <w:r>
        <w:t xml:space="preserve">; contraseñas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backend/storage/cuentas-prueba.txt</w:t>
      </w:r>
      <w:r>
        <w:t xml:space="preserve"> (permisos 0600, fuera de git). Las cuentas no pueden comprar en producción.</w:t>
      </w:r>
    </w:p>
    <w:p>
      <w:pPr>
        <w:pStyle w:val="Heading2"/>
        <w:keepNext/>
      </w:pPr>
      <w:r>
        <w:t xml:space="preserve">5. Aprobar o rechazar solicitudes de registro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Entrar con un administrador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clientes.gestionar</w:t>
      </w:r>
      <w:r>
        <w:t xml:space="preserve"> (o superadministrador)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admin-solicitudes.html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Abrir la solicitud: se ven el nombre y NIT declarados, el resultado al registrar y el resultado actual contra el padrón (la apertura queda auditada).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Resultados: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nit_no_existe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nombre_no_coincide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institucion_no_coincide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persona_inactiva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padron_no_disponible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Aprobar</w:t>
      </w:r>
      <w:r>
        <w:t xml:space="preserve">: si no 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coincide</w:t>
      </w:r>
      <w:r>
        <w:t xml:space="preserve">, marcar la confirmación explícita. </w:t>
      </w:r>
      <w:r>
        <w:rPr>
          <w:b/>
          <w:bCs/>
        </w:rPr>
        <w:t xml:space="preserve">Rechazar</w:t>
      </w:r>
      <w:r>
        <w:t xml:space="preserve">: motivo de 5 a 500 caracteres (se envía al solicitante; no se guarda en auditoría).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 otro administrador ya decidió, se responde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YA_DECIDIDA</w:t>
      </w:r>
      <w:r>
        <w:t xml:space="preserve">.</w:t>
      </w:r>
    </w:p>
    <w:p>
      <w:pPr>
        <w:pStyle w:val="Heading2"/>
        <w:keepNext/>
      </w:pPr>
      <w:r>
        <w:t xml:space="preserve">6. Permisos de personal</w:t>
      </w:r>
    </w:p>
    <w:p>
      <w:pPr>
        <w:spacing w:after="120"/>
      </w:pPr>
      <w:r>
        <w:t xml:space="preserve">Pestaña de personal y permisos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admin-verificaciones.html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staff.permisos</w:t>
      </w:r>
      <w:r>
        <w:t xml:space="preserve">). 13 permisos: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verificacion.decidir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verificacion.confirmar_institucion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cuentas.suspender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restringidos.autorizar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productos.cumplimiento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catalogo.gestionar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pedidos.gestionar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clientes.gestionar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staff.permisos</w:t>
      </w:r>
      <w:r>
        <w:t xml:space="preserve">. Reglas (RN</w:t>
        <w:noBreakHyphen/>
        <w:t xml:space="preserve">017): solo se conceden permisos propios;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staff.permisos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 solo los concede el superadministrador; nadie modifica sus propios permisos; el personal nuevo nace sin permisos y con contraseña temporal.</w:t>
      </w:r>
    </w:p>
    <w:p>
      <w:pPr>
        <w:pStyle w:val="Heading2"/>
        <w:keepNext/>
      </w:pPr>
      <w:r>
        <w:t xml:space="preserve">7. Verificación institucional y restringidos</w:t>
      </w:r>
    </w:p>
    <w:p>
      <w:pPr>
        <w:spacing w:after="120"/>
      </w:pPr>
      <w:r>
        <w:t xml:space="preserve">Revisión con doble comprobación (vínculo documental, canal independiente por otra persona, entidad), tabla de decisión, suspensión y concesión de restringidos. Detalle en </w:t>
      </w:r>
      <w:hyperlink w:history="1" r:id="rIdyh8wsbm0m7f6jap7s5vy9">
        <w:r>
          <w:rPr>
            <w:color w:val="1D4ED8"/>
            <w:u w:val="single"/>
          </w:rPr>
          <w:t xml:space="preserve">../docs/POLITICA_VERIFICACION_IDENTIDAD.md</w:t>
        </w:r>
      </w:hyperlink>
      <w:r>
        <w:t xml:space="preserve">. Acceso al número completo del documento solo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 y justificación ≥ 20 caracteres (auditado).</w:t>
      </w:r>
    </w:p>
    <w:p>
      <w:pPr>
        <w:pStyle w:val="Heading2"/>
        <w:keepNext/>
      </w:pPr>
      <w:r>
        <w:t xml:space="preserve">8. Diagnóstico</w:t>
      </w:r>
    </w:p>
    <w:p>
      <w:pPr>
        <w:spacing w:after="120"/>
      </w:pPr>
      <w:r>
        <w:t xml:space="preserve">Superadministrador → pestaña </w:t>
      </w:r>
      <w:r>
        <w:rPr>
          <w:b/>
          <w:bCs/>
        </w:rPr>
        <w:t xml:space="preserve">Diagnóstico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/api/verificacion/admin/diagnostico</w:t>
      </w:r>
      <w:r>
        <w:t xml:space="preserve">): migraciones aplicadas, colas (correo, outbox n8n) y configuraciones presentes, sin valores.</w:t>
      </w:r>
    </w:p>
    <w:p>
      <w:pPr>
        <w:pStyle w:val="Heading2"/>
        <w:keepNext/>
      </w:pPr>
      <w:r>
        <w:t xml:space="preserve">9. Padrón</w:t>
      </w:r>
    </w:p>
    <w:p>
      <w:pPr>
        <w:spacing w:after="120"/>
      </w:pPr>
      <w:r>
        <w:t xml:space="preserve">Sincronización automática al arrancar y cada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PADRON_SYNC_MINUTOS</w:t>
      </w:r>
      <w:r>
        <w:t xml:space="preserve">; manual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padron:importar</w:t>
      </w:r>
      <w:r>
        <w:t xml:space="preserve">. Las filas que desaparecen de la fuente quedan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inactiva</w:t>
      </w:r>
      <w:r>
        <w:t xml:space="preserve">; la fuente nunca se modifica.</w:t>
      </w:r>
    </w:p>
    <w:p>
      <w:pPr>
        <w:pStyle w:val="Heading2"/>
        <w:keepNext/>
      </w:pPr>
      <w:r>
        <w:t xml:space="preserve">10. Tareas periódicas automáticas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5"/>
        <w:gridCol w:w="4085"/>
      </w:tblGrid>
      <w:tr>
        <w:trPr>
          <w:tblHeader/>
        </w:trPr>
        <w:tc>
          <w:tcPr>
            <w:tcW w:type="dxa" w:w="5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Tarea</w:t>
            </w:r>
          </w:p>
        </w:tc>
        <w:tc>
          <w:tcPr>
            <w:tcW w:type="dxa" w:w="4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Frecuencia</w:t>
            </w:r>
          </w:p>
        </w:tc>
      </w:tr>
      <w:tr>
        <w:tc>
          <w:tcPr>
            <w:tcW w:type="dxa" w:w="5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Expiración de pedidos y liberación de reservas</w:t>
            </w:r>
          </w:p>
        </w:tc>
        <w:tc>
          <w:tcPr>
            <w:tcW w:type="dxa" w:w="4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60 s</w:t>
            </w:r>
          </w:p>
        </w:tc>
      </w:tr>
      <w:tr>
        <w:tc>
          <w:tcPr>
            <w:tcW w:type="dxa" w:w="5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Mantenimiento de verificaciones</w:t>
            </w:r>
          </w:p>
        </w:tc>
        <w:tc>
          <w:tcPr>
            <w:tcW w:type="dxa" w:w="4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5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Worker de correo de comprobantes</w:t>
            </w:r>
          </w:p>
        </w:tc>
        <w:tc>
          <w:tcPr>
            <w:tcW w:type="dxa" w:w="4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s (máx. 5 intentos)</w:t>
            </w:r>
          </w:p>
        </w:tc>
      </w:tr>
      <w:tr>
        <w:tc>
          <w:tcPr>
            <w:tcW w:type="dxa" w:w="5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Worker del outbox n8n</w:t>
            </w:r>
          </w:p>
        </w:tc>
        <w:tc>
          <w:tcPr>
            <w:tcW w:type="dxa" w:w="4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s (máx. 8 intentos)</w:t>
            </w:r>
          </w:p>
        </w:tc>
      </w:tr>
      <w:tr>
        <w:tc>
          <w:tcPr>
            <w:tcW w:type="dxa" w:w="5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Sincronización del padrón</w:t>
            </w:r>
          </w:p>
        </w:tc>
        <w:tc>
          <w:tcPr>
            <w:tcW w:type="dxa" w:w="4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PADRON_SYNC_MINUTOS</w:t>
            </w:r>
            <w:r>
              <w:rPr>
                <w:sz w:val="17"/>
                <w:szCs w:val="17"/>
              </w:rPr>
              <w:t xml:space="preserve"> (10)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Auditoría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/api/auditoria</w:t>
      </w:r>
      <w:r>
        <w:t xml:space="preserve"> (permiso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auditoria.ver</w:t>
      </w:r>
      <w:r>
        <w:t xml:space="preserve">), filtros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entidad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limite</w:t>
      </w:r>
      <w:r>
        <w:t xml:space="preserve"> (máx. 500). No hay pantalla dedicada identificada [OBS].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ungmgauxyhtboffz6zbe">
        <w:r>
          <w:rPr>
            <w:color w:val="1D4ED8"/>
            <w:u w:val="single"/>
          </w:rPr>
          <w:t xml:space="preserve">../docs/SUPERUSUARIO_Y_CUENTAS_PRUEBA.md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pw6tsgen5hbhbfqa6ncl">
        <w:r>
          <w:rPr>
            <w:color w:val="1D4ED8"/>
            <w:u w:val="single"/>
          </w:rPr>
          <w:t xml:space="preserve">../docs/REGISTRO_VERIFICADO.md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cevf0zqtanflqidspmnv">
        <w:r>
          <w:rPr>
            <w:color w:val="1D4ED8"/>
            <w:u w:val="single"/>
          </w:rPr>
          <w:t xml:space="preserve">../03_DISENO/10_DISENO_DE_SEGURIDAD.docx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wmszfg-y6ndfpaoukqdy">
        <w:r>
          <w:rPr>
            <w:color w:val="1D4ED8"/>
            <w:u w:val="single"/>
          </w:rPr>
          <w:t xml:space="preserve">../07_MANTENIMIENTO_Y_SOPORTE/03_GUIA_DE_DIAGNOSTICO.docx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Manual técnico y administrativo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yh8wsbm0m7f6jap7s5vy9" Type="http://schemas.openxmlformats.org/officeDocument/2006/relationships/hyperlink" Target="../docs/POLITICA_VERIFICACION_IDENTIDAD.md" TargetMode="External"/><Relationship Id="rIdzungmgauxyhtboffz6zbe" Type="http://schemas.openxmlformats.org/officeDocument/2006/relationships/hyperlink" Target="../docs/SUPERUSUARIO_Y_CUENTAS_PRUEBA.md" TargetMode="External"/><Relationship Id="rIdjpw6tsgen5hbhbfqa6ncl" Type="http://schemas.openxmlformats.org/officeDocument/2006/relationships/hyperlink" Target="../docs/REGISTRO_VERIFICADO.md" TargetMode="External"/><Relationship Id="rIdfcevf0zqtanflqidspmnv" Type="http://schemas.openxmlformats.org/officeDocument/2006/relationships/hyperlink" Target="../03_DISENO/10_DISENO_DE_SEGURIDAD.docx" TargetMode="External"/><Relationship Id="rIdrwmszfg-y6ndfpaoukqdy" Type="http://schemas.openxmlformats.org/officeDocument/2006/relationships/hyperlink" Target="../07_MANTENIMIENTO_Y_SOPORTE/03_GUIA_DE_DIAGNOSTICO.docx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administrativo</dc:title>
  <dc:creator>Suministros Institucionales — documentación del proyecto</dc:creator>
  <dc:description>Generado a partir de 06_IMPLEMENTACION/12_MANUAL_TECNICO_Y_ADMINISTRATIVO.md</dc:description>
  <cp:lastModifiedBy>Un-named</cp:lastModifiedBy>
  <cp:revision>1</cp:revision>
  <dcterms:created xsi:type="dcterms:W3CDTF">2026-10-16T16:29:40.248Z</dcterms:created>
  <dcterms:modified xsi:type="dcterms:W3CDTF">2026-10-16T16:29:40.248Z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