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Plan de trabajo y estado actual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7"/>
        <w:gridCol w:w="6083"/>
      </w:tblGrid>
      <w:tr>
        <w:trPr>
          <w:tblHeader/>
        </w:trP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Campo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ID documental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DOC</w:t>
              <w:noBreakHyphen/>
              <w:t xml:space="preserve">00</w:t>
              <w:noBreakHyphen/>
              <w:t xml:space="preserve">05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Versión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BORRADOR — PENDIENTE DE VALIDACIÓN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Fecha de generación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2026-10-16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Responsable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 DE ASIGNACIÓN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 base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rama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feature/verificacion-seguridad</w:t>
            </w:r>
            <w:r>
              <w:rPr>
                <w:sz w:val="17"/>
                <w:szCs w:val="17"/>
              </w:rPr>
              <w:t xml:space="preserve">, commit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4742737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Propósito</w:t>
      </w:r>
    </w:p>
    <w:p>
      <w:pPr>
        <w:spacing w:after="120"/>
      </w:pPr>
      <w:r>
        <w:t xml:space="preserve">Mostrar el estado real de cada módulo al 2026-10-16 y proponer un plan de trabajo para cerrar las brechas.</w:t>
      </w:r>
    </w:p>
    <w:p>
      <w:pPr>
        <w:pStyle w:val="Heading2"/>
        <w:keepNext/>
      </w:pPr>
      <w:r>
        <w:t xml:space="preserve">Alcance</w:t>
      </w:r>
    </w:p>
    <w:p>
      <w:pPr>
        <w:spacing w:after="120"/>
      </w:pPr>
      <w:r>
        <w:t xml:space="preserve">El estado se basa en el código y en las pruebas unitarias ejecutadas el 2026-10-16 (Jest 107/107,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node:test</w:t>
      </w:r>
      <w:r>
        <w:t xml:space="preserve"> 51/51). No existe un cronograma aprobado en el repositorio: el plan de la última sección es una propuesta [REC] sin fechas comprometidas.</w:t>
      </w:r>
    </w:p>
    <w:p>
      <w:pPr>
        <w:pStyle w:val="Heading2"/>
        <w:keepNext/>
      </w:pPr>
      <w:r>
        <w:t xml:space="preserve">Trabajo realizado (cronología con evidencia Git) [OBS]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19"/>
        <w:gridCol w:w="5814"/>
        <w:gridCol w:w="1727"/>
      </w:tblGrid>
      <w:tr>
        <w:trPr>
          <w:tblHeader/>
        </w:trPr>
        <w:tc>
          <w:tcPr>
            <w:tcW w:type="dxa" w:w="18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Periodo</w:t>
            </w:r>
          </w:p>
        </w:tc>
        <w:tc>
          <w:tcPr>
            <w:tcW w:type="dxa" w:w="581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Trabajo</w:t>
            </w:r>
          </w:p>
        </w:tc>
        <w:tc>
          <w:tcPr>
            <w:tcW w:type="dxa" w:w="17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Liberación</w:t>
            </w:r>
          </w:p>
        </w:tc>
      </w:tr>
      <w:tr>
        <w:tc>
          <w:tcPr>
            <w:tcW w:type="dxa" w:w="18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2026-10-11</w:t>
            </w:r>
          </w:p>
        </w:tc>
        <w:tc>
          <w:tcPr>
            <w:tcW w:type="dxa" w:w="581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Landing y tema moderno</w:t>
            </w:r>
          </w:p>
        </w:tc>
        <w:tc>
          <w:tcPr>
            <w:tcW w:type="dxa" w:w="17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REL</w:t>
              <w:noBreakHyphen/>
              <w:t xml:space="preserve">001</w:t>
            </w:r>
          </w:p>
        </w:tc>
      </w:tr>
      <w:tr>
        <w:tc>
          <w:tcPr>
            <w:tcW w:type="dxa" w:w="18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2026-10-13</w:t>
            </w:r>
          </w:p>
        </w:tc>
        <w:tc>
          <w:tcPr>
            <w:tcW w:type="dxa" w:w="581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Verificación institucional (migración 001), luego verificación en la compra (migración 002), superadministrador, W11</w:t>
            </w:r>
          </w:p>
        </w:tc>
        <w:tc>
          <w:tcPr>
            <w:tcW w:type="dxa" w:w="17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REL</w:t>
              <w:noBreakHyphen/>
              <w:t xml:space="preserve">002, REL</w:t>
              <w:noBreakHyphen/>
              <w:t xml:space="preserve">003</w:t>
            </w:r>
          </w:p>
        </w:tc>
      </w:tr>
      <w:tr>
        <w:tc>
          <w:tcPr>
            <w:tcW w:type="dxa" w:w="18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2026-10-14</w:t>
            </w:r>
          </w:p>
        </w:tc>
        <w:tc>
          <w:tcPr>
            <w:tcW w:type="dxa" w:w="581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Commit "first commit" (reorganización del historial)</w:t>
            </w:r>
          </w:p>
        </w:tc>
        <w:tc>
          <w:tcPr>
            <w:tcW w:type="dxa" w:w="17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8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2026-10-15</w:t>
            </w:r>
          </w:p>
        </w:tc>
        <w:tc>
          <w:tcPr>
            <w:tcW w:type="dxa" w:w="581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Cifrado por campo, padrón, captcha, migración 003, registro verificado, MFA por nodemailer, panel de solicitudes, W12, responsive, documento de flujos n8n</w:t>
            </w:r>
          </w:p>
        </w:tc>
        <w:tc>
          <w:tcPr>
            <w:tcW w:type="dxa" w:w="17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REL</w:t>
              <w:noBreakHyphen/>
              <w:t xml:space="preserve">004</w:t>
            </w:r>
          </w:p>
        </w:tc>
      </w:tr>
      <w:tr>
        <w:tc>
          <w:tcPr>
            <w:tcW w:type="dxa" w:w="18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2026-10-16</w:t>
            </w:r>
          </w:p>
        </w:tc>
        <w:tc>
          <w:tcPr>
            <w:tcW w:type="dxa" w:w="581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Auditoría y documentación empresarial</w:t>
            </w:r>
          </w:p>
        </w:tc>
        <w:tc>
          <w:tcPr>
            <w:tcW w:type="dxa" w:w="17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REL</w:t>
              <w:noBreakHyphen/>
              <w:t xml:space="preserve">005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Estado por módulo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89"/>
        <w:gridCol w:w="2539"/>
        <w:gridCol w:w="2949"/>
        <w:gridCol w:w="1683"/>
      </w:tblGrid>
      <w:tr>
        <w:trPr>
          <w:tblHeader/>
        </w:trPr>
        <w:tc>
          <w:tcPr>
            <w:tcW w:type="dxa" w:w="21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Módulo</w:t>
            </w:r>
          </w:p>
        </w:tc>
        <w:tc>
          <w:tcPr>
            <w:tcW w:type="dxa" w:w="25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Estado</w:t>
            </w:r>
          </w:p>
        </w:tc>
        <w:tc>
          <w:tcPr>
            <w:tcW w:type="dxa" w:w="29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Pruebas 2026-10-16</w:t>
            </w:r>
          </w:p>
        </w:tc>
        <w:tc>
          <w:tcPr>
            <w:tcW w:type="dxa" w:w="16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Brechas principales</w:t>
            </w:r>
          </w:p>
        </w:tc>
      </w:tr>
      <w:tr>
        <w:tc>
          <w:tcPr>
            <w:tcW w:type="dxa" w:w="21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MOD</w:t>
              <w:noBreakHyphen/>
              <w:t xml:space="preserve">01 Autenticación y sesión</w:t>
            </w:r>
          </w:p>
        </w:tc>
        <w:tc>
          <w:tcPr>
            <w:tcW w:type="dxa" w:w="25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 (refresh/logout: IMPLEMENTADO, NO VERIFICADO)</w:t>
            </w:r>
          </w:p>
        </w:tc>
        <w:tc>
          <w:tcPr>
            <w:tcW w:type="dxa" w:w="29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registro-verificado, mi-cuenta</w:t>
            </w:r>
          </w:p>
        </w:tc>
        <w:tc>
          <w:tcPr>
            <w:tcW w:type="dxa" w:w="16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010, BUG</w:t>
              <w:noBreakHyphen/>
              <w:t xml:space="preserve">011</w:t>
            </w:r>
          </w:p>
        </w:tc>
      </w:tr>
      <w:tr>
        <w:tc>
          <w:tcPr>
            <w:tcW w:type="dxa" w:w="21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MOD</w:t>
              <w:noBreakHyphen/>
              <w:t xml:space="preserve">02 Registro verificado y padrón</w:t>
            </w:r>
          </w:p>
        </w:tc>
        <w:tc>
          <w:tcPr>
            <w:tcW w:type="dxa" w:w="25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 (sincronización periódica: NO VERIFICADO)</w:t>
            </w:r>
          </w:p>
        </w:tc>
        <w:tc>
          <w:tcPr>
            <w:tcW w:type="dxa" w:w="29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account-registration-phase0, registro-verificado</w:t>
            </w:r>
          </w:p>
        </w:tc>
        <w:tc>
          <w:tcPr>
            <w:tcW w:type="dxa" w:w="16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Padrón de laboratorio en lugar de fuente oficial</w:t>
            </w:r>
          </w:p>
        </w:tc>
      </w:tr>
      <w:tr>
        <w:tc>
          <w:tcPr>
            <w:tcW w:type="dxa" w:w="21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MOD</w:t>
              <w:noBreakHyphen/>
              <w:t xml:space="preserve">03 Mi cuenta</w:t>
            </w:r>
          </w:p>
        </w:tc>
        <w:tc>
          <w:tcPr>
            <w:tcW w:type="dxa" w:w="25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 (API y pantalla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mi-cuenta.html</w:t>
            </w:r>
            <w:r>
              <w:rPr>
                <w:sz w:val="17"/>
                <w:szCs w:val="17"/>
              </w:rPr>
              <w:t xml:space="preserve">, 2026-10-16)</w:t>
            </w:r>
          </w:p>
        </w:tc>
        <w:tc>
          <w:tcPr>
            <w:tcW w:type="dxa" w:w="29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mi-cuenta, reportes-contacto-auditoria, E2E</w:t>
            </w:r>
          </w:p>
        </w:tc>
        <w:tc>
          <w:tcPr>
            <w:tcW w:type="dxa" w:w="16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004, BUG</w:t>
              <w:noBreakHyphen/>
              <w:t xml:space="preserve">005 corregidos</w:t>
            </w:r>
          </w:p>
        </w:tc>
      </w:tr>
      <w:tr>
        <w:tc>
          <w:tcPr>
            <w:tcW w:type="dxa" w:w="21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MOD</w:t>
              <w:noBreakHyphen/>
              <w:t xml:space="preserve">04 Verificación institucional y en la compra</w:t>
            </w:r>
          </w:p>
        </w:tc>
        <w:tc>
          <w:tcPr>
            <w:tcW w:type="dxa" w:w="25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 (tabla de decisión, HMAC y cifrado v2 verificados)</w:t>
            </w:r>
          </w:p>
        </w:tc>
        <w:tc>
          <w:tcPr>
            <w:tcW w:type="dxa" w:w="29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verificacion-compra</w:t>
            </w:r>
          </w:p>
        </w:tc>
        <w:tc>
          <w:tcPr>
            <w:tcW w:type="dxa" w:w="16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Integración MySQL no reproducida; fuentes oficiales sin convenio</w:t>
            </w:r>
          </w:p>
        </w:tc>
      </w:tr>
      <w:tr>
        <w:tc>
          <w:tcPr>
            <w:tcW w:type="dxa" w:w="21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MOD</w:t>
              <w:noBreakHyphen/>
              <w:t xml:space="preserve">05 Autorización, permisos y segmentación</w:t>
            </w:r>
          </w:p>
        </w:tc>
        <w:tc>
          <w:tcPr>
            <w:tcW w:type="dxa" w:w="25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 (reglas unitarias)</w:t>
            </w:r>
          </w:p>
        </w:tc>
        <w:tc>
          <w:tcPr>
            <w:tcW w:type="dxa" w:w="29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tenancy, account-registration-phase0</w:t>
            </w:r>
          </w:p>
        </w:tc>
        <w:tc>
          <w:tcPr>
            <w:tcW w:type="dxa" w:w="16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Escenarios HTTP A–L solo históricos</w:t>
            </w:r>
          </w:p>
        </w:tc>
      </w:tr>
      <w:tr>
        <w:tc>
          <w:tcPr>
            <w:tcW w:type="dxa" w:w="21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MOD</w:t>
              <w:noBreakHyphen/>
              <w:t xml:space="preserve">06 Catálogo</w:t>
            </w:r>
          </w:p>
        </w:tc>
        <w:tc>
          <w:tcPr>
            <w:tcW w:type="dxa" w:w="25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 (visibilidad verificada)</w:t>
            </w:r>
          </w:p>
        </w:tc>
        <w:tc>
          <w:tcPr>
            <w:tcW w:type="dxa" w:w="29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tenancy, assistant</w:t>
            </w:r>
          </w:p>
        </w:tc>
        <w:tc>
          <w:tcPr>
            <w:tcW w:type="dxa" w:w="16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1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MOD</w:t>
              <w:noBreakHyphen/>
              <w:t xml:space="preserve">07 Carrito, checkout y pagos</w:t>
            </w:r>
          </w:p>
        </w:tc>
        <w:tc>
          <w:tcPr>
            <w:tcW w:type="dxa" w:w="25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 (expiración y prellenado verificados)</w:t>
            </w:r>
          </w:p>
        </w:tc>
        <w:tc>
          <w:tcPr>
            <w:tcW w:type="dxa" w:w="29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paymentJobs, assistant</w:t>
            </w:r>
          </w:p>
        </w:tc>
        <w:tc>
          <w:tcPr>
            <w:tcW w:type="dxa" w:w="16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Pasarela real REQ</w:t>
              <w:noBreakHyphen/>
              <w:t xml:space="preserve">F</w:t>
              <w:noBreakHyphen/>
              <w:t xml:space="preserve">040</w:t>
            </w:r>
          </w:p>
        </w:tc>
      </w:tr>
      <w:tr>
        <w:tc>
          <w:tcPr>
            <w:tcW w:type="dxa" w:w="21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MOD</w:t>
              <w:noBreakHyphen/>
              <w:t xml:space="preserve">08 Pedidos</w:t>
            </w:r>
          </w:p>
        </w:tc>
        <w:tc>
          <w:tcPr>
            <w:tcW w:type="dxa" w:w="25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</w:t>
            </w:r>
          </w:p>
        </w:tc>
        <w:tc>
          <w:tcPr>
            <w:tcW w:type="dxa" w:w="29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6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1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MOD</w:t>
              <w:noBreakHyphen/>
              <w:t xml:space="preserve">09 Comprobantes y correo</w:t>
            </w:r>
          </w:p>
        </w:tc>
        <w:tc>
          <w:tcPr>
            <w:tcW w:type="dxa" w:w="25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</w:t>
            </w:r>
          </w:p>
        </w:tc>
        <w:tc>
          <w:tcPr>
            <w:tcW w:type="dxa" w:w="29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receiptService, receiptTokens, receiptEmail</w:t>
            </w:r>
          </w:p>
        </w:tc>
        <w:tc>
          <w:tcPr>
            <w:tcW w:type="dxa" w:w="16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006, SMTP real no probado</w:t>
            </w:r>
          </w:p>
        </w:tc>
      </w:tr>
      <w:tr>
        <w:tc>
          <w:tcPr>
            <w:tcW w:type="dxa" w:w="21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MOD</w:t>
              <w:noBreakHyphen/>
              <w:t xml:space="preserve">10 Clientes</w:t>
            </w:r>
          </w:p>
        </w:tc>
        <w:tc>
          <w:tcPr>
            <w:tcW w:type="dxa" w:w="25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 (controles de acceso)</w:t>
            </w:r>
          </w:p>
        </w:tc>
        <w:tc>
          <w:tcPr>
            <w:tcW w:type="dxa" w:w="29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account-registration-phase0</w:t>
            </w:r>
          </w:p>
        </w:tc>
        <w:tc>
          <w:tcPr>
            <w:tcW w:type="dxa" w:w="16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1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MOD</w:t>
              <w:noBreakHyphen/>
              <w:t xml:space="preserve">11 Asistente y atención</w:t>
            </w:r>
          </w:p>
        </w:tc>
        <w:tc>
          <w:tcPr>
            <w:tcW w:type="dxa" w:w="25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 (asistente); contacto y calificación NO VERIFICADO</w:t>
            </w:r>
          </w:p>
        </w:tc>
        <w:tc>
          <w:tcPr>
            <w:tcW w:type="dxa" w:w="29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assistant</w:t>
            </w:r>
          </w:p>
        </w:tc>
        <w:tc>
          <w:tcPr>
            <w:tcW w:type="dxa" w:w="16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002</w:t>
            </w:r>
          </w:p>
        </w:tc>
      </w:tr>
      <w:tr>
        <w:tc>
          <w:tcPr>
            <w:tcW w:type="dxa" w:w="21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MOD</w:t>
              <w:noBreakHyphen/>
              <w:t xml:space="preserve">12 Reportes</w:t>
            </w:r>
          </w:p>
        </w:tc>
        <w:tc>
          <w:tcPr>
            <w:tcW w:type="dxa" w:w="25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</w:t>
            </w:r>
          </w:p>
        </w:tc>
        <w:tc>
          <w:tcPr>
            <w:tcW w:type="dxa" w:w="29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6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001</w:t>
            </w:r>
          </w:p>
        </w:tc>
      </w:tr>
      <w:tr>
        <w:tc>
          <w:tcPr>
            <w:tcW w:type="dxa" w:w="21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MOD</w:t>
              <w:noBreakHyphen/>
              <w:t xml:space="preserve">13 Auditoría</w:t>
            </w:r>
          </w:p>
        </w:tc>
        <w:tc>
          <w:tcPr>
            <w:tcW w:type="dxa" w:w="25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 (auditoría de campos de mi-cuenta verificada)</w:t>
            </w:r>
          </w:p>
        </w:tc>
        <w:tc>
          <w:tcPr>
            <w:tcW w:type="dxa" w:w="29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mi-cuenta</w:t>
            </w:r>
          </w:p>
        </w:tc>
        <w:tc>
          <w:tcPr>
            <w:tcW w:type="dxa" w:w="16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1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MOD</w:t>
              <w:noBreakHyphen/>
              <w:t xml:space="preserve">14 Automatizaciones n8n</w:t>
            </w:r>
          </w:p>
        </w:tc>
        <w:tc>
          <w:tcPr>
            <w:tcW w:type="dxa" w:w="25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Backend IMPLEMENTADO Y VERIFICADO; workflows NO DETERMINADO (todos inactivos)</w:t>
            </w:r>
          </w:p>
        </w:tc>
        <w:tc>
          <w:tcPr>
            <w:tcW w:type="dxa" w:w="29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automation, registro-verificado, verificacion-compra</w:t>
            </w:r>
          </w:p>
        </w:tc>
        <w:tc>
          <w:tcPr>
            <w:tcW w:type="dxa" w:w="16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014, RSK</w:t>
              <w:noBreakHyphen/>
              <w:t xml:space="preserve">011</w:t>
            </w:r>
          </w:p>
        </w:tc>
      </w:tr>
      <w:tr>
        <w:tc>
          <w:tcPr>
            <w:tcW w:type="dxa" w:w="21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MOD</w:t>
              <w:noBreakHyphen/>
              <w:t xml:space="preserve">15 Persistencia y migraciones</w:t>
            </w:r>
          </w:p>
        </w:tc>
        <w:tc>
          <w:tcPr>
            <w:tcW w:type="dxa" w:w="25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 (idempotencia); reversión solo histórica</w:t>
            </w:r>
          </w:p>
        </w:tc>
        <w:tc>
          <w:tcPr>
            <w:tcW w:type="dxa" w:w="29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db-account-migration</w:t>
            </w:r>
          </w:p>
        </w:tc>
        <w:tc>
          <w:tcPr>
            <w:tcW w:type="dxa" w:w="16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RSK</w:t>
              <w:noBreakHyphen/>
              <w:t xml:space="preserve">003</w:t>
            </w:r>
          </w:p>
        </w:tc>
      </w:tr>
      <w:tr>
        <w:tc>
          <w:tcPr>
            <w:tcW w:type="dxa" w:w="21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MOD</w:t>
              <w:noBreakHyphen/>
              <w:t xml:space="preserve">16 Seguridad transversal y configuración</w:t>
            </w:r>
          </w:p>
        </w:tc>
        <w:tc>
          <w:tcPr>
            <w:tcW w:type="dxa" w:w="25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PARCIALMENTE IMPLEMENTADO (sin HTTPS/CSP/HSTS)</w:t>
            </w:r>
          </w:p>
        </w:tc>
        <w:tc>
          <w:tcPr>
            <w:tcW w:type="dxa" w:w="29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verificacion-compra (configuración segura), registro-verificado (cifrado)</w:t>
            </w:r>
          </w:p>
        </w:tc>
        <w:tc>
          <w:tcPr>
            <w:tcW w:type="dxa" w:w="16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012, BUG</w:t>
              <w:noBreakHyphen/>
              <w:t xml:space="preserve">013</w:t>
            </w:r>
          </w:p>
        </w:tc>
      </w:tr>
      <w:tr>
        <w:tc>
          <w:tcPr>
            <w:tcW w:type="dxa" w:w="21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MOD</w:t>
              <w:noBreakHyphen/>
              <w:t xml:space="preserve">17 Frontend transversal</w:t>
            </w:r>
          </w:p>
        </w:tc>
        <w:tc>
          <w:tcPr>
            <w:tcW w:type="dxa" w:w="25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PARCIALMENTE IMPLEMENTADO (i18n incompleto)</w:t>
            </w:r>
          </w:p>
        </w:tc>
        <w:tc>
          <w:tcPr>
            <w:tcW w:type="dxa" w:w="29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assistant (widget)</w:t>
            </w:r>
          </w:p>
        </w:tc>
        <w:tc>
          <w:tcPr>
            <w:tcW w:type="dxa" w:w="16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003, BUG</w:t>
              <w:noBreakHyphen/>
              <w:t xml:space="preserve">016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Indicadores actuales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76"/>
        <w:gridCol w:w="4984"/>
      </w:tblGrid>
      <w:tr>
        <w:trPr>
          <w:tblHeader/>
        </w:trPr>
        <w:tc>
          <w:tcPr>
            <w:tcW w:type="dxa" w:w="4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Indicador</w:t>
            </w:r>
          </w:p>
        </w:tc>
        <w:tc>
          <w:tcPr>
            <w:tcW w:type="dxa" w:w="49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4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Requerimientos funcionales</w:t>
            </w:r>
          </w:p>
        </w:tc>
        <w:tc>
          <w:tcPr>
            <w:tcW w:type="dxa" w:w="49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40 (REQ</w:t>
              <w:noBreakHyphen/>
              <w:t xml:space="preserve">F</w:t>
              <w:noBreakHyphen/>
              <w:t xml:space="preserve">001…040)</w:t>
            </w:r>
          </w:p>
        </w:tc>
      </w:tr>
      <w:tr>
        <w:tc>
          <w:tcPr>
            <w:tcW w:type="dxa" w:w="4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 Y VERIFICADO</w:t>
            </w:r>
          </w:p>
        </w:tc>
        <w:tc>
          <w:tcPr>
            <w:tcW w:type="dxa" w:w="49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17 (REQ</w:t>
              <w:noBreakHyphen/>
              <w:t xml:space="preserve">F</w:t>
              <w:noBreakHyphen/>
              <w:t xml:space="preserve">001, 002, 004, 005, 006, 007, 009, 012, 014, 020, 022, 025, 026, 028, 031, 035, 037; varios con alcance parcial anotado)</w:t>
            </w:r>
          </w:p>
        </w:tc>
      </w:tr>
      <w:tr>
        <w:tc>
          <w:tcPr>
            <w:tcW w:type="dxa" w:w="4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PARCIALMENTE IMPLEMENTADO</w:t>
            </w:r>
          </w:p>
        </w:tc>
        <w:tc>
          <w:tcPr>
            <w:tcW w:type="dxa" w:w="49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4 (REQ</w:t>
              <w:noBreakHyphen/>
              <w:t xml:space="preserve">F</w:t>
              <w:noBreakHyphen/>
              <w:t xml:space="preserve">010, 011, 013, 038)</w:t>
            </w:r>
          </w:p>
        </w:tc>
      </w:tr>
      <w:tr>
        <w:tc>
          <w:tcPr>
            <w:tcW w:type="dxa" w:w="4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IMPLEMENTADO, NO VERIFICADO</w:t>
            </w:r>
          </w:p>
        </w:tc>
        <w:tc>
          <w:tcPr>
            <w:tcW w:type="dxa" w:w="49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17</w:t>
            </w:r>
          </w:p>
        </w:tc>
      </w:tr>
      <w:tr>
        <w:tc>
          <w:tcPr>
            <w:tcW w:type="dxa" w:w="4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NO DETERMINADO / DOCUMENTADO, NO IMPLEMENTADO</w:t>
            </w:r>
          </w:p>
        </w:tc>
        <w:tc>
          <w:tcPr>
            <w:tcW w:type="dxa" w:w="49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 / 1 (REQ</w:t>
              <w:noBreakHyphen/>
              <w:t xml:space="preserve">F</w:t>
              <w:noBreakHyphen/>
              <w:t xml:space="preserve">036 / REQ</w:t>
              <w:noBreakHyphen/>
              <w:t xml:space="preserve">F</w:t>
              <w:noBreakHyphen/>
              <w:t xml:space="preserve">040)</w:t>
            </w:r>
          </w:p>
        </w:tc>
      </w:tr>
      <w:tr>
        <w:tc>
          <w:tcPr>
            <w:tcW w:type="dxa" w:w="4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Defectos/hallazgos abiertos</w:t>
            </w:r>
          </w:p>
        </w:tc>
        <w:tc>
          <w:tcPr>
            <w:tcW w:type="dxa" w:w="49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18 (BUG</w:t>
              <w:noBreakHyphen/>
              <w:t xml:space="preserve">001…018; 2 de severidad alta: BUG</w:t>
              <w:noBreakHyphen/>
              <w:t xml:space="preserve">001, BUG</w:t>
              <w:noBreakHyphen/>
              <w:t xml:space="preserve">006)</w:t>
            </w:r>
          </w:p>
        </w:tc>
      </w:tr>
      <w:tr>
        <w:tc>
          <w:tcPr>
            <w:tcW w:type="dxa" w:w="43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Riesgos registrados</w:t>
            </w:r>
          </w:p>
        </w:tc>
        <w:tc>
          <w:tcPr>
            <w:tcW w:type="dxa" w:w="498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17 (RSK</w:t>
              <w:noBreakHyphen/>
              <w:t xml:space="preserve">001…017)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Fuente única del detalle: </w:t>
      </w:r>
      <w:hyperlink w:history="1" r:id="rIdcmtwyeeal89hsu7taohkg">
        <w:r>
          <w:rPr>
            <w:color w:val="1D4ED8"/>
            <w:u w:val="single"/>
          </w:rPr>
          <w:t xml:space="preserve">matriz de trazabilidad</w:t>
        </w:r>
      </w:hyperlink>
      <w:r>
        <w:t xml:space="preserve">.</w:t>
      </w:r>
    </w:p>
    <w:p>
      <w:pPr>
        <w:pStyle w:val="Heading2"/>
        <w:keepNext/>
      </w:pPr>
      <w:r>
        <w:t xml:space="preserve">Plan de trabajo propuesto [REC]</w:t>
      </w:r>
    </w:p>
    <w:p>
      <w:pPr>
        <w:spacing w:after="120"/>
      </w:pPr>
      <w:r>
        <w:t xml:space="preserve">Sin fechas comprometidas ni responsables asignados; el orden refleja prioridad sugerida.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62"/>
        <w:gridCol w:w="2972"/>
        <w:gridCol w:w="2151"/>
        <w:gridCol w:w="2075"/>
      </w:tblGrid>
      <w:tr>
        <w:trPr>
          <w:tblHeader/>
        </w:trPr>
        <w:tc>
          <w:tcPr>
            <w:tcW w:type="dxa" w:w="216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Fase</w:t>
            </w:r>
          </w:p>
        </w:tc>
        <w:tc>
          <w:tcPr>
            <w:tcW w:type="dxa" w:w="2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Actividades</w:t>
            </w:r>
          </w:p>
        </w:tc>
        <w:tc>
          <w:tcPr>
            <w:tcW w:type="dxa" w:w="21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Entregable</w:t>
            </w:r>
          </w:p>
        </w:tc>
        <w:tc>
          <w:tcPr>
            <w:tcW w:type="dxa" w:w="207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Dependencias</w:t>
            </w:r>
          </w:p>
        </w:tc>
      </w:tr>
      <w:tr>
        <w:tc>
          <w:tcPr>
            <w:tcW w:type="dxa" w:w="216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F1 — Validación</w:t>
            </w:r>
          </w:p>
        </w:tc>
        <w:tc>
          <w:tcPr>
            <w:tcW w:type="dxa" w:w="2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Asignar responsables (04), validar esta documentación, decidir W11/NIT, cuentas heredadas y fusión 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main</w:t>
            </w:r>
          </w:p>
        </w:tc>
        <w:tc>
          <w:tcPr>
            <w:tcW w:type="dxa" w:w="21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Documentos aprobados, decisiones registradas en 07</w:t>
            </w:r>
          </w:p>
        </w:tc>
        <w:tc>
          <w:tcPr>
            <w:tcW w:type="dxa" w:w="207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INT-01</w:t>
            </w:r>
          </w:p>
        </w:tc>
      </w:tr>
      <w:tr>
        <w:tc>
          <w:tcPr>
            <w:tcW w:type="dxa" w:w="216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F2 — Correcciones críticas</w:t>
            </w:r>
          </w:p>
        </w:tc>
        <w:tc>
          <w:tcPr>
            <w:tcW w:type="dxa" w:w="2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001 (autenticar reportes), BUG</w:t>
              <w:noBreakHyphen/>
              <w:t xml:space="preserve">006 (nodemailer v10 con pruebas de correo), BUG</w:t>
              <w:noBreakHyphen/>
              <w:t xml:space="preserve">002, rotación de secretos (RSK</w:t>
              <w:noBreakHyphen/>
              <w:t xml:space="preserve">002)</w:t>
            </w:r>
          </w:p>
        </w:tc>
        <w:tc>
          <w:tcPr>
            <w:tcW w:type="dxa" w:w="21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Versión corregida y probada</w:t>
            </w:r>
          </w:p>
        </w:tc>
        <w:tc>
          <w:tcPr>
            <w:tcW w:type="dxa" w:w="207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F1</w:t>
            </w:r>
          </w:p>
        </w:tc>
      </w:tr>
      <w:tr>
        <w:tc>
          <w:tcPr>
            <w:tcW w:type="dxa" w:w="216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F3 — Verificación reproducible</w:t>
            </w:r>
          </w:p>
        </w:tc>
        <w:tc>
          <w:tcPr>
            <w:tcW w:type="dxa" w:w="2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Ejecutar integración MySQL Docker, interfaz jsdom y medición en entorno de pruebas; registrar en 05_PRUEBAS</w:t>
            </w:r>
          </w:p>
        </w:tc>
        <w:tc>
          <w:tcPr>
            <w:tcW w:type="dxa" w:w="21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Resultados de ejecución actualizados</w:t>
            </w:r>
          </w:p>
        </w:tc>
        <w:tc>
          <w:tcPr>
            <w:tcW w:type="dxa" w:w="207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F2</w:t>
            </w:r>
          </w:p>
        </w:tc>
      </w:tr>
      <w:tr>
        <w:tc>
          <w:tcPr>
            <w:tcW w:type="dxa" w:w="216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F4 — Completar funcionalidad</w:t>
            </w:r>
          </w:p>
        </w:tc>
        <w:tc>
          <w:tcPr>
            <w:tcW w:type="dxa" w:w="2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Pantallas de mi cuenta (BUG</w:t>
              <w:noBreakHyphen/>
              <w:t xml:space="preserve">004/005), i18n (BUG</w:t>
              <w:noBreakHyphen/>
              <w:t xml:space="preserve">016), API_BASE configurable (BUG</w:t>
              <w:noBreakHyphen/>
              <w:t xml:space="preserve">003), limpieza (BUG</w:t>
              <w:noBreakHyphen/>
              <w:t xml:space="preserve">007, 008, 009)</w:t>
            </w:r>
          </w:p>
        </w:tc>
        <w:tc>
          <w:tcPr>
            <w:tcW w:type="dxa" w:w="21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Versión funcional completa</w:t>
            </w:r>
          </w:p>
        </w:tc>
        <w:tc>
          <w:tcPr>
            <w:tcW w:type="dxa" w:w="207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F3</w:t>
            </w:r>
          </w:p>
        </w:tc>
      </w:tr>
      <w:tr>
        <w:tc>
          <w:tcPr>
            <w:tcW w:type="dxa" w:w="216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F5 — Endurecimiento para producción</w:t>
            </w:r>
          </w:p>
        </w:tc>
        <w:tc>
          <w:tcPr>
            <w:tcW w:type="dxa" w:w="2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HTTPS, CSP/HSTS, cookie HttpOnly, captcha gestionado, almacén compartido de límites, recifrado, respaldos automáticos</w:t>
            </w:r>
          </w:p>
        </w:tc>
        <w:tc>
          <w:tcPr>
            <w:tcW w:type="dxa" w:w="21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Lista preproducción completa</w:t>
            </w:r>
          </w:p>
        </w:tc>
        <w:tc>
          <w:tcPr>
            <w:tcW w:type="dxa" w:w="207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F4, decisión de infraestructura</w:t>
            </w:r>
          </w:p>
        </w:tc>
      </w:tr>
      <w:tr>
        <w:tc>
          <w:tcPr>
            <w:tcW w:type="dxa" w:w="216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F6 — Integraciones reales</w:t>
            </w:r>
          </w:p>
        </w:tc>
        <w:tc>
          <w:tcPr>
            <w:tcW w:type="dxa" w:w="29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Pasarela de pagos, SMTP institucional, activación de n8n, fuente oficial del padrón, validación jurídica</w:t>
            </w:r>
          </w:p>
        </w:tc>
        <w:tc>
          <w:tcPr>
            <w:tcW w:type="dxa" w:w="21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Acta de entrega</w:t>
            </w:r>
          </w:p>
        </w:tc>
        <w:tc>
          <w:tcPr>
            <w:tcW w:type="dxa" w:w="207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Convenios y contratos (fuera del equipo técnico)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Referencias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_ylk7bgori96fft8ax6gl">
        <w:r>
          <w:rPr>
            <w:color w:val="1D4ED8"/>
            <w:u w:val="single"/>
          </w:rPr>
          <w:t xml:space="preserve">Matriz de riesgos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eyguokfyc9xujy09v9qr5">
        <w:r>
          <w:rPr>
            <w:color w:val="1D4ED8"/>
            <w:u w:val="single"/>
          </w:rPr>
          <w:t xml:space="preserve">Registro de defectos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7a3or_fadq6ejaswvqbe7">
        <w:r>
          <w:rPr>
            <w:color w:val="1D4ED8"/>
            <w:u w:val="single"/>
          </w:rPr>
          <w:t xml:space="preserve">Deuda técnica y mejoras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3urm9mqwuuya8yq5zogaa">
        <w:r>
          <w:rPr>
            <w:color w:val="1D4ED8"/>
            <w:u w:val="single"/>
          </w:rPr>
          <w:t xml:space="preserve">Resultados de ejecución</w:t>
        </w:r>
      </w:hyperlink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</w:pPr>
    <w:r>
      <w:rPr>
        <w:color w:val="64748B"/>
        <w:sz w:val="16"/>
        <w:szCs w:val="16"/>
      </w:rPr>
      <w:t xml:space="preserve">Suministros Institucionales  ·  Plan de trabajo y estado actual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◦"/>
      <w:lvlJc w:val="left"/>
      <w:pPr>
        <w:ind w:left="720" w:hanging="260"/>
      </w:pPr>
    </w:lvl>
    <w:lvl w:ilvl="2" w:tentative="1">
      <w:start w:val="1"/>
      <w:numFmt w:val="bullet"/>
      <w:lvlText w:val="▪"/>
      <w:lvlJc w:val="left"/>
      <w:pPr>
        <w:ind w:left="1080" w:hanging="260"/>
      </w:pPr>
    </w:lvl>
    <w:lvl w:ilvl="3" w:tentative="1">
      <w:start w:val="1"/>
      <w:numFmt w:val="bullet"/>
      <w:lvlText w:val="•"/>
      <w:lvlJc w:val="left"/>
      <w:pPr>
        <w:ind w:left="1440" w:hanging="260"/>
      </w:pPr>
    </w:lvl>
    <w:lvl w:ilvl="4" w:tentative="1">
      <w:start w:val="1"/>
      <w:numFmt w:val="bullet"/>
      <w:lvlText w:val="◦"/>
      <w:lvlJc w:val="left"/>
      <w:pPr>
        <w:ind w:left="1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  <w:lvl w:ilvl="4" w:tentative="1">
      <w:start w:val="1"/>
      <w:numFmt w:val="decimal"/>
      <w:lvlText w:val="%5."/>
      <w:lvlJc w:val="left"/>
      <w:pPr>
        <w:ind w:left="1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0B2D4A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0B2D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B2D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E3A5F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1E3A5F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cmtwyeeal89hsu7taohkg" Type="http://schemas.openxmlformats.org/officeDocument/2006/relationships/hyperlink" Target="../01_INGENIERIA_DE_REQUERIMIENTOS/11_MATRIZ_DE_TRAZABILIDAD.docx" TargetMode="External"/><Relationship Id="rId_ylk7bgori96fft8ax6gl" Type="http://schemas.openxmlformats.org/officeDocument/2006/relationships/hyperlink" Target="06_MATRIZ_DE_RIESGOS.docx" TargetMode="External"/><Relationship Id="rIdeyguokfyc9xujy09v9qr5" Type="http://schemas.openxmlformats.org/officeDocument/2006/relationships/hyperlink" Target="../05_PRUEBAS/09_REGISTRO_DE_DEFECTOS.docx" TargetMode="External"/><Relationship Id="rId7a3or_fadq6ejaswvqbe7" Type="http://schemas.openxmlformats.org/officeDocument/2006/relationships/hyperlink" Target="../03_DISENO/12_DEUDA_TECNICA_Y_MEJORAS_PROPUESTAS.docx" TargetMode="External"/><Relationship Id="rId3urm9mqwuuya8yq5zogaa" Type="http://schemas.openxmlformats.org/officeDocument/2006/relationships/hyperlink" Target="../05_PRUEBAS/10_RESULTADOS_DE_EJECUCION.docx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trabajo y estado actual</dc:title>
  <dc:creator>Suministros Institucionales — documentación del proyecto</dc:creator>
  <dc:description>Generado a partir de 00_GESTION_DEL_PROYECTO/05_PLAN_DE_TRABAJO_Y_ESTADO_ACTUAL.md</dc:description>
  <cp:lastModifiedBy>Un-named</cp:lastModifiedBy>
  <cp:revision>1</cp:revision>
  <dcterms:created xsi:type="dcterms:W3CDTF">2026-10-16T16:41:03.144Z</dcterms:created>
  <dcterms:modified xsi:type="dcterms:W3CDTF">2026-10-16T16:41:03.144Z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