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Restricciones y limitaciones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10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las restricciones que condicionan los requerimientos y las limitaciones funcionales conocidas del sistema actual.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Restricciones de negocio, técnicas, legales y de entorno, y limitaciones del producto. Las limitaciones de esta auditoría están en </w:t>
      </w:r>
      <w:hyperlink w:history="1" r:id="rId9ql_uoioscf_msbgqkv-e">
        <w:r>
          <w:rPr>
            <w:color w:val="1D4ED8"/>
            <w:u w:val="single"/>
          </w:rPr>
          <w:t xml:space="preserve">../00_GESTION_DEL_PROYECTO/10_LIMITACIONES_Y_SUPUESTOS.docx</w:t>
        </w:r>
      </w:hyperlink>
      <w:r>
        <w:t xml:space="preserve">.</w:t>
      </w:r>
    </w:p>
    <w:p>
      <w:pPr>
        <w:pStyle w:val="Heading2"/>
        <w:keepNext/>
      </w:pPr>
      <w:r>
        <w:t xml:space="preserve">1. 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7"/>
        <w:gridCol w:w="1307"/>
        <w:gridCol w:w="2235"/>
        <w:gridCol w:w="3012"/>
        <w:gridCol w:w="1919"/>
      </w:tblGrid>
      <w:tr>
        <w:trPr>
          <w:tblHeader/>
        </w:trPr>
        <w:tc>
          <w:tcPr>
            <w:tcW w:type="dxa" w:w="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Restricción</w:t>
            </w:r>
          </w:p>
        </w:tc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  <w:tc>
          <w:tcPr>
            <w:tcW w:type="dxa" w:w="19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Efecto en requerimientos</w:t>
            </w:r>
          </w:p>
        </w:tc>
      </w:tr>
      <w:tr>
        <w:tc>
          <w:tcPr>
            <w:tcW w:type="dxa" w:w="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RES-01</w:t>
            </w:r>
          </w:p>
        </w:tc>
        <w:tc>
          <w:tcPr>
            <w:tcW w:type="dxa" w:w="1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Negocio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Costo cero: solo servicios gratuitos</w:t>
            </w:r>
          </w:p>
        </w:tc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</w:p>
        </w:tc>
        <w:tc>
          <w:tcPr>
            <w:tcW w:type="dxa" w:w="19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018; captcha propio (ADR</w:t>
              <w:noBreakHyphen/>
              <w:t xml:space="preserve">010); Mailpit; plan gratuito MySQL</w:t>
            </w:r>
          </w:p>
        </w:tc>
      </w:tr>
      <w:tr>
        <w:tc>
          <w:tcPr>
            <w:tcW w:type="dxa" w:w="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RES-02</w:t>
            </w:r>
          </w:p>
        </w:tc>
        <w:tc>
          <w:tcPr>
            <w:tcW w:type="dxa" w:w="1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Entorno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Laboratorio sin HTTPS</w:t>
            </w:r>
          </w:p>
        </w:tc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, comentario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../backend/src/app.js</w:t>
            </w:r>
          </w:p>
        </w:tc>
        <w:tc>
          <w:tcPr>
            <w:tcW w:type="dxa" w:w="19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016 PENDIENTE; sin HSTS</w:t>
            </w:r>
          </w:p>
        </w:tc>
      </w:tr>
      <w:tr>
        <w:tc>
          <w:tcPr>
            <w:tcW w:type="dxa" w:w="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RES-03</w:t>
            </w:r>
          </w:p>
        </w:tc>
        <w:tc>
          <w:tcPr>
            <w:tcW w:type="dxa" w:w="1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Técnica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Clever Cloud con máximo 5 conexiones por usuario</w:t>
            </w:r>
          </w:p>
        </w:tc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../backend/src/db.js</w:t>
            </w:r>
            <w:r>
              <w:rPr>
                <w:sz w:val="17"/>
                <w:szCs w:val="17"/>
              </w:rPr>
              <w:t xml:space="preserve"> (comentario),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</w:p>
        </w:tc>
        <w:tc>
          <w:tcPr>
            <w:tcW w:type="dxa" w:w="19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007</w:t>
            </w:r>
          </w:p>
        </w:tc>
      </w:tr>
      <w:tr>
        <w:tc>
          <w:tcPr>
            <w:tcW w:type="dxa" w:w="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RES-04</w:t>
            </w:r>
          </w:p>
        </w:tc>
        <w:tc>
          <w:tcPr>
            <w:tcW w:type="dxa" w:w="1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Técnica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Latencia de ~150 ms por viaje a MySQL desde el equipo de laboratorio</w:t>
            </w:r>
          </w:p>
        </w:tc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§5</w:t>
            </w:r>
          </w:p>
        </w:tc>
        <w:tc>
          <w:tcPr>
            <w:tcW w:type="dxa" w:w="19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Diseño de lotes en un solo viaje (REQ</w:t>
              <w:noBreakHyphen/>
              <w:t xml:space="preserve">NF</w:t>
              <w:noBreakHyphen/>
              <w:t xml:space="preserve">006)</w:t>
            </w:r>
          </w:p>
        </w:tc>
      </w:tr>
      <w:tr>
        <w:tc>
          <w:tcPr>
            <w:tcW w:type="dxa" w:w="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RES-05</w:t>
            </w:r>
          </w:p>
        </w:tc>
        <w:tc>
          <w:tcPr>
            <w:tcW w:type="dxa" w:w="1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Técnica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Stack Node.js/Express CommonJS, HTML + Bootstrap sin framework</w:t>
            </w:r>
          </w:p>
        </w:tc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../backend/package.json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</w:t>
            </w:r>
          </w:p>
        </w:tc>
        <w:tc>
          <w:tcPr>
            <w:tcW w:type="dxa" w:w="19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Todas</w:t>
            </w:r>
          </w:p>
        </w:tc>
      </w:tr>
      <w:tr>
        <w:tc>
          <w:tcPr>
            <w:tcW w:type="dxa" w:w="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RES-06</w:t>
            </w:r>
          </w:p>
        </w:tc>
        <w:tc>
          <w:tcPr>
            <w:tcW w:type="dxa" w:w="1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Técnica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 solo proceso: captcha y limitadores en memoria</w:t>
            </w:r>
          </w:p>
        </w:tc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../backend/src/seguridad/captcha.js</w:t>
            </w:r>
          </w:p>
        </w:tc>
        <w:tc>
          <w:tcPr>
            <w:tcW w:type="dxa" w:w="19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004 (BUG</w:t>
              <w:noBreakHyphen/>
              <w:t xml:space="preserve">010)</w:t>
            </w:r>
          </w:p>
        </w:tc>
      </w:tr>
      <w:tr>
        <w:tc>
          <w:tcPr>
            <w:tcW w:type="dxa" w:w="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RES-07</w:t>
            </w:r>
          </w:p>
        </w:tc>
        <w:tc>
          <w:tcPr>
            <w:tcW w:type="dxa" w:w="1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Legal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Ley 1581 de 2012 y Decreto 1377 de 2013 (datos personales)</w:t>
            </w:r>
          </w:p>
        </w:tc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../docs/TRATAMIENTO_DATOS_PERSONALES.md</w:t>
            </w:r>
          </w:p>
        </w:tc>
        <w:tc>
          <w:tcPr>
            <w:tcW w:type="dxa" w:w="19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017, REQ</w:t>
              <w:noBreakHyphen/>
              <w:t xml:space="preserve">F</w:t>
              <w:noBreakHyphen/>
              <w:t xml:space="preserve">013, REQ</w:t>
              <w:noBreakHyphen/>
              <w:t xml:space="preserve">F</w:t>
              <w:noBreakHyphen/>
              <w:t xml:space="preserve">027</w:t>
            </w:r>
          </w:p>
        </w:tc>
      </w:tr>
      <w:tr>
        <w:tc>
          <w:tcPr>
            <w:tcW w:type="dxa" w:w="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RES-08</w:t>
            </w:r>
          </w:p>
        </w:tc>
        <w:tc>
          <w:tcPr>
            <w:tcW w:type="dxa" w:w="1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Legal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Régimen de productos restringidos por validar</w:t>
            </w:r>
          </w:p>
        </w:tc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../docs/MATRIZ_ELEGIBILIDAD_PRODUCTOS.md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../docs/MATRIZ_NORMATIVA_COLOMBIA.md</w:t>
            </w:r>
          </w:p>
        </w:tc>
        <w:tc>
          <w:tcPr>
            <w:tcW w:type="dxa" w:w="19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017, RN</w:t>
              <w:noBreakHyphen/>
              <w:t xml:space="preserve">008</w:t>
            </w:r>
          </w:p>
        </w:tc>
      </w:tr>
      <w:tr>
        <w:tc>
          <w:tcPr>
            <w:tcW w:type="dxa" w:w="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RES-09</w:t>
            </w:r>
          </w:p>
        </w:tc>
        <w:tc>
          <w:tcPr>
            <w:tcW w:type="dxa" w:w="1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Fuentes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acceso autorizado a SIGEP ni Registraduría; solo datos abiertos de entidades (RUES, CHIP)</w:t>
            </w:r>
          </w:p>
        </w:tc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../docs/VIABILIDAD_SIGEP_DATOS_ABIERTOS.md</w:t>
            </w:r>
          </w:p>
        </w:tc>
        <w:tc>
          <w:tcPr>
            <w:tcW w:type="dxa" w:w="19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028 (verificación documental + humana)</w:t>
            </w:r>
          </w:p>
        </w:tc>
      </w:tr>
      <w:tr>
        <w:tc>
          <w:tcPr>
            <w:tcW w:type="dxa" w:w="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RES-10</w:t>
            </w:r>
          </w:p>
        </w:tc>
        <w:tc>
          <w:tcPr>
            <w:tcW w:type="dxa" w:w="1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Privacidad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no debe recibir datos personales</w:t>
            </w:r>
          </w:p>
        </w:tc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§4</w:t>
            </w:r>
          </w:p>
        </w:tc>
        <w:tc>
          <w:tcPr>
            <w:tcW w:type="dxa" w:w="19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008, BUG</w:t>
              <w:noBreakHyphen/>
              <w:t xml:space="preserve">014</w:t>
            </w:r>
          </w:p>
        </w:tc>
      </w:tr>
      <w:tr>
        <w:tc>
          <w:tcPr>
            <w:tcW w:type="dxa" w:w="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RES-11</w:t>
            </w:r>
          </w:p>
        </w:tc>
        <w:tc>
          <w:tcPr>
            <w:tcW w:type="dxa" w:w="1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Claves solo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(fuera de Git), nunca en BD, frontend ni n8n</w:t>
            </w:r>
          </w:p>
        </w:tc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../.gitignore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§3</w:t>
            </w:r>
          </w:p>
        </w:tc>
        <w:tc>
          <w:tcPr>
            <w:tcW w:type="dxa" w:w="19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001, REQ</w:t>
              <w:noBreakHyphen/>
              <w:t xml:space="preserve">NF</w:t>
              <w:noBreakHyphen/>
              <w:t xml:space="preserve">003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Limitaciones funcionales del sistema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7"/>
        <w:gridCol w:w="4982"/>
        <w:gridCol w:w="3321"/>
      </w:tblGrid>
      <w:tr>
        <w:trPr>
          <w:tblHeader/>
        </w:trP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Limitación</w:t>
            </w:r>
          </w:p>
        </w:tc>
        <w:tc>
          <w:tcPr>
            <w:tcW w:type="dxa" w:w="33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 / BUG</w:t>
            </w:r>
          </w:p>
        </w:tc>
      </w:tr>
      <w:t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</w:t>
              <w:noBreakHyphen/>
              <w:t xml:space="preserve">01</w:t>
            </w:r>
          </w:p>
        </w:tc>
        <w:tc>
          <w:tcPr>
            <w:tcW w:type="dxa" w:w="4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pasarela de pago real;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NODE_ENV=production</w:t>
            </w:r>
            <w:r>
              <w:rPr>
                <w:sz w:val="17"/>
                <w:szCs w:val="17"/>
              </w:rPr>
              <w:t xml:space="preserve"> el proveedor mock está prohibido y los demás modos no existen, por lo que el servidor no arranca en modo producción [INF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../backend/src/paymentProvider.js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../backend/server.js</w:t>
            </w:r>
            <w:r>
              <w:rPr>
                <w:sz w:val="17"/>
                <w:szCs w:val="17"/>
              </w:rPr>
              <w:t xml:space="preserve">]</w:t>
            </w:r>
          </w:p>
        </w:tc>
        <w:tc>
          <w:tcPr>
            <w:tcW w:type="dxa" w:w="33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040</w:t>
            </w:r>
          </w:p>
        </w:tc>
      </w:tr>
      <w:t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</w:t>
              <w:noBreakHyphen/>
              <w:t xml:space="preserve">02</w:t>
            </w:r>
          </w:p>
        </w:tc>
        <w:tc>
          <w:tcPr>
            <w:tcW w:type="dxa" w:w="4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Comprobantes no válidos como factura electrónica (no-DIAN)</w:t>
            </w:r>
          </w:p>
        </w:tc>
        <w:tc>
          <w:tcPr>
            <w:tcW w:type="dxa" w:w="33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025</w:t>
            </w:r>
          </w:p>
        </w:tc>
      </w:tr>
      <w:t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</w:t>
              <w:noBreakHyphen/>
              <w:t xml:space="preserve">03</w:t>
            </w:r>
          </w:p>
        </w:tc>
        <w:tc>
          <w:tcPr>
            <w:tcW w:type="dxa" w:w="4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trike/>
                <w:sz w:val="17"/>
                <w:szCs w:val="17"/>
              </w:rPr>
              <w:t xml:space="preserve">Mi cuenta sin pantalla</w:t>
            </w:r>
            <w:r>
              <w:rPr>
                <w:sz w:val="17"/>
                <w:szCs w:val="17"/>
              </w:rPr>
              <w:t xml:space="preserve"> Resuelta el 2026-10-16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mi-cuenta.html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admin-contacto.html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3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010 a 013, BUG</w:t>
              <w:noBreakHyphen/>
              <w:t xml:space="preserve">004, BUG</w:t>
              <w:noBreakHyphen/>
              <w:t xml:space="preserve">005</w:t>
            </w:r>
          </w:p>
        </w:tc>
      </w:tr>
      <w:t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</w:t>
              <w:noBreakHyphen/>
              <w:t xml:space="preserve">04</w:t>
            </w:r>
          </w:p>
        </w:tc>
        <w:tc>
          <w:tcPr>
            <w:tcW w:type="dxa" w:w="4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Las referencias institucionales sembradas tienen precio 0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cotizacion_requerida</w:t>
            </w:r>
            <w:r>
              <w:rPr>
                <w:sz w:val="17"/>
                <w:szCs w:val="17"/>
              </w:rPr>
              <w:t xml:space="preserve">: no se compran (409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COTIZACION_REQUERIDA</w:t>
            </w:r>
            <w:r>
              <w:rPr>
                <w:sz w:val="17"/>
                <w:szCs w:val="17"/>
              </w:rPr>
              <w:t xml:space="preserve">), solo se cotizan</w:t>
            </w:r>
          </w:p>
        </w:tc>
        <w:tc>
          <w:tcPr>
            <w:tcW w:type="dxa" w:w="33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../backend/src/db.js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../backend/src/autorizacion.js</w:t>
            </w:r>
          </w:p>
        </w:tc>
      </w:tr>
      <w:t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</w:t>
              <w:noBreakHyphen/>
              <w:t xml:space="preserve">05</w:t>
            </w:r>
          </w:p>
        </w:tc>
        <w:tc>
          <w:tcPr>
            <w:tcW w:type="dxa" w:w="4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Traducción incompleta</w:t>
            </w:r>
          </w:p>
        </w:tc>
        <w:tc>
          <w:tcPr>
            <w:tcW w:type="dxa" w:w="33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038, BUG</w:t>
              <w:noBreakHyphen/>
              <w:t xml:space="preserve">016</w:t>
            </w:r>
          </w:p>
        </w:tc>
      </w:tr>
      <w:t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</w:t>
              <w:noBreakHyphen/>
              <w:t xml:space="preserve">06</w:t>
            </w:r>
          </w:p>
        </w:tc>
        <w:tc>
          <w:tcPr>
            <w:tcW w:type="dxa" w:w="4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API_BASE</w:t>
            </w:r>
            <w:r>
              <w:rPr>
                <w:sz w:val="17"/>
                <w:szCs w:val="17"/>
              </w:rPr>
              <w:t xml:space="preserve"> fijo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http://localhost:8081</w:t>
            </w:r>
          </w:p>
        </w:tc>
        <w:tc>
          <w:tcPr>
            <w:tcW w:type="dxa" w:w="33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003</w:t>
            </w:r>
          </w:p>
        </w:tc>
      </w:tr>
      <w:t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</w:t>
              <w:noBreakHyphen/>
              <w:t xml:space="preserve">07</w:t>
            </w:r>
          </w:p>
        </w:tc>
        <w:tc>
          <w:tcPr>
            <w:tcW w:type="dxa" w:w="4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Workflows n8n inactivos; W5 y W9 sin uso</w:t>
            </w:r>
          </w:p>
        </w:tc>
        <w:tc>
          <w:tcPr>
            <w:tcW w:type="dxa" w:w="33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036</w:t>
            </w:r>
          </w:p>
        </w:tc>
      </w:tr>
      <w:t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</w:t>
              <w:noBreakHyphen/>
              <w:t xml:space="preserve">08</w:t>
            </w:r>
          </w:p>
        </w:tc>
        <w:tc>
          <w:tcPr>
            <w:tcW w:type="dxa" w:w="4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antivirus para documentos subidos</w:t>
            </w:r>
          </w:p>
        </w:tc>
        <w:tc>
          <w:tcPr>
            <w:tcW w:type="dxa" w:w="33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027</w:t>
            </w:r>
          </w:p>
        </w:tc>
      </w:tr>
      <w:t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</w:t>
              <w:noBreakHyphen/>
              <w:t xml:space="preserve">09</w:t>
            </w:r>
          </w:p>
        </w:tc>
        <w:tc>
          <w:tcPr>
            <w:tcW w:type="dxa" w:w="4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valor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suspendida</w:t>
            </w:r>
            <w:r>
              <w:rPr>
                <w:sz w:val="17"/>
                <w:szCs w:val="17"/>
              </w:rPr>
              <w:t xml:space="preserve">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usuarios.estado_cuenta</w:t>
            </w:r>
            <w:r>
              <w:rPr>
                <w:sz w:val="17"/>
                <w:szCs w:val="17"/>
              </w:rPr>
              <w:t xml:space="preserve"> no es asignado por ningún flujo</w:t>
            </w:r>
          </w:p>
        </w:tc>
        <w:tc>
          <w:tcPr>
            <w:tcW w:type="dxa" w:w="33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023 (ver </w:t>
            </w:r>
            <w:hyperlink w:history="1" r:id="rIdba5i7gkuz9oeuyd5qt8xr">
              <w:r>
                <w:rPr>
                  <w:color w:val="1D4ED8"/>
                  <w:sz w:val="17"/>
                  <w:szCs w:val="17"/>
                  <w:u w:val="single"/>
                </w:rPr>
                <w:t xml:space="preserve">07_REGLAS_DE_NEGOCIO.docx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</w:t>
              <w:noBreakHyphen/>
              <w:t xml:space="preserve">10</w:t>
            </w:r>
          </w:p>
        </w:tc>
        <w:tc>
          <w:tcPr>
            <w:tcW w:type="dxa" w:w="4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borrado automático por plazos de conservación</w:t>
            </w:r>
          </w:p>
        </w:tc>
        <w:tc>
          <w:tcPr>
            <w:tcW w:type="dxa" w:w="33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015</w:t>
            </w:r>
          </w:p>
        </w:tc>
      </w:tr>
      <w:tr>
        <w:tc>
          <w:tcPr>
            <w:tcW w:type="dxa" w:w="1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</w:t>
              <w:noBreakHyphen/>
              <w:t xml:space="preserve">11</w:t>
            </w:r>
          </w:p>
        </w:tc>
        <w:tc>
          <w:tcPr>
            <w:tcW w:type="dxa" w:w="4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pantalla para gestionar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solicitudes_contacto</w:t>
            </w:r>
            <w:r>
              <w:rPr>
                <w:sz w:val="17"/>
                <w:szCs w:val="17"/>
              </w:rPr>
              <w:t xml:space="preserve"> ni consultar auditoría</w:t>
            </w:r>
          </w:p>
        </w:tc>
        <w:tc>
          <w:tcPr>
            <w:tcW w:type="dxa" w:w="33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032, REQ</w:t>
              <w:noBreakHyphen/>
              <w:t xml:space="preserve">F</w:t>
              <w:noBreakHyphen/>
              <w:t xml:space="preserve">034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zdrnmjypztjkxtjj7fwr">
        <w:r>
          <w:rPr>
            <w:color w:val="1D4ED8"/>
            <w:u w:val="single"/>
          </w:rPr>
          <w:t xml:space="preserve">06_REQUERIMIENTOS_NO_FUNCIONALES.docx</w:t>
        </w:r>
      </w:hyperlink>
      <w:r>
        <w:t xml:space="preserve">, </w:t>
      </w:r>
      <w:hyperlink w:history="1" r:id="rIdbdqk-a5ifyqya4gpwbvea">
        <w:r>
          <w:rPr>
            <w:color w:val="1D4ED8"/>
            <w:u w:val="single"/>
          </w:rPr>
          <w:t xml:space="preserve">../03_DISENO/12_DEUDA_TECNICA_Y_MEJORAS_PROPUESTAS.docx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Restricciones y limitaciones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ql_uoioscf_msbgqkv-e" Type="http://schemas.openxmlformats.org/officeDocument/2006/relationships/hyperlink" Target="../00_GESTION_DEL_PROYECTO/10_LIMITACIONES_Y_SUPUESTOS.docx" TargetMode="External"/><Relationship Id="rIdba5i7gkuz9oeuyd5qt8xr" Type="http://schemas.openxmlformats.org/officeDocument/2006/relationships/hyperlink" Target="07_REGLAS_DE_NEGOCIO.docx" TargetMode="External"/><Relationship Id="rIdozdrnmjypztjkxtjj7fwr" Type="http://schemas.openxmlformats.org/officeDocument/2006/relationships/hyperlink" Target="06_REQUERIMIENTOS_NO_FUNCIONALES.docx" TargetMode="External"/><Relationship Id="rIdbdqk-a5ifyqya4gpwbvea" Type="http://schemas.openxmlformats.org/officeDocument/2006/relationships/hyperlink" Target="../03_DISENO/12_DEUDA_TECNICA_Y_MEJORAS_PROPUESTAS.docx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Restricciones y limitaciones</dc:title>
  <dc:creator>Suministros Institucionales — documentación del proyecto</dc:creator>
  <dc:description>Generado a partir de 01_INGENIERIA_DE_REQUERIMIENTOS/10_RESTRICCIONES_Y_LIMITACIONES.md</dc:description>
  <cp:lastModifiedBy>Un-named</cp:lastModifiedBy>
  <cp:revision>1</cp:revision>
  <dcterms:created xsi:type="dcterms:W3CDTF">2026-10-16T16:41:03.298Z</dcterms:created>
  <dcterms:modified xsi:type="dcterms:W3CDTF">2026-10-16T16:41:03.298Z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