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Deuda técnica y mejoras propuestas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03</w:t>
              <w:noBreakHyphen/>
              <w:t xml:space="preserve">12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Inventariar la deuda técnica observada y proponer mejoras priorizadas. </w:t>
      </w:r>
      <w:r>
        <w:rPr>
          <w:b/>
          <w:bCs/>
        </w:rPr>
        <w:t xml:space="preserve">Todas las mejoras son [REC]</w:t>
      </w:r>
      <w:r>
        <w:t xml:space="preserve">: no han sido solicitadas ni aprobadas por el cliente; requieren decisión del responsable del producto (PENDIENTE DE ASIGNACIÓN).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Código, configuración, dependencias y documentación del repositorio. Las prioridades y esfuerzos son estimaciones [INF].</w:t>
      </w:r>
    </w:p>
    <w:p>
      <w:pPr>
        <w:pStyle w:val="Heading2"/>
        <w:keepNext/>
      </w:pPr>
      <w:r>
        <w:t xml:space="preserve">1. Criterios de priorización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P1</w:t>
      </w:r>
      <w:r>
        <w:t xml:space="preserve"> — riesgo de seguridad o de pérdida de datos; corregir antes de cualquier exposición fuera del laboratorio.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P2</w:t>
      </w:r>
      <w:r>
        <w:t xml:space="preserve"> — bloquea el despliegue o la operación real.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P3</w:t>
      </w:r>
      <w:r>
        <w:t xml:space="preserve"> — mantenibilidad, coherencia y experiencia de usuario.</w:t>
      </w:r>
    </w:p>
    <w:p>
      <w:pPr>
        <w:pStyle w:val="Heading2"/>
        <w:keepNext/>
      </w:pPr>
      <w:r>
        <w:t xml:space="preserve">2. Deuda y mejoras priorizadas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73"/>
        <w:gridCol w:w="2621"/>
        <w:gridCol w:w="2892"/>
        <w:gridCol w:w="1091"/>
        <w:gridCol w:w="1583"/>
      </w:tblGrid>
      <w:tr>
        <w:trPr>
          <w:tblHeader/>
        </w:trPr>
        <w:tc>
          <w:tcPr>
            <w:tcW w:type="dxa" w:w="11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Prioridad</w:t>
            </w:r>
          </w:p>
        </w:tc>
        <w:tc>
          <w:tcPr>
            <w:tcW w:type="dxa" w:w="26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Defecto / deuda</w:t>
            </w:r>
          </w:p>
        </w:tc>
        <w:tc>
          <w:tcPr>
            <w:tcW w:type="dxa" w:w="2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Mejora propuesta [REC]</w:t>
            </w:r>
          </w:p>
        </w:tc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Esfuerzo [INF]</w:t>
            </w:r>
          </w:p>
        </w:tc>
        <w:tc>
          <w:tcPr>
            <w:tcW w:type="dxa" w:w="1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Relación</w:t>
            </w:r>
          </w:p>
        </w:tc>
      </w:tr>
      <w:tr>
        <w:tc>
          <w:tcPr>
            <w:tcW w:type="dxa" w:w="11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26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001 Reporte mensual sin autenticación</w:t>
            </w:r>
          </w:p>
        </w:tc>
        <w:tc>
          <w:tcPr>
            <w:tcW w:type="dxa" w:w="2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Añadir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requiereAutenticacion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requiereAdmin</w:t>
            </w:r>
            <w:r>
              <w:rPr>
                <w:sz w:val="17"/>
                <w:szCs w:val="17"/>
              </w:rPr>
              <w:t xml:space="preserve"> y un permiso (p. ej.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auditoria.ver</w:t>
            </w:r>
            <w:r>
              <w:rPr>
                <w:sz w:val="17"/>
                <w:szCs w:val="17"/>
              </w:rPr>
              <w:t xml:space="preserve"> o uno nuevo) 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/api/reportes/mensual</w:t>
            </w:r>
            <w:r>
              <w:rPr>
                <w:sz w:val="17"/>
                <w:szCs w:val="17"/>
              </w:rPr>
              <w:t xml:space="preserve">; dejar de exponer comentarios en claro</w:t>
            </w:r>
          </w:p>
        </w:tc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Bajo</w:t>
            </w:r>
          </w:p>
        </w:tc>
        <w:tc>
          <w:tcPr>
            <w:tcW w:type="dxa" w:w="1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008</w:t>
            </w:r>
          </w:p>
        </w:tc>
      </w:tr>
      <w:tr>
        <w:tc>
          <w:tcPr>
            <w:tcW w:type="dxa" w:w="11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26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006 nodemailer vulnerable</w:t>
            </w:r>
          </w:p>
        </w:tc>
        <w:tc>
          <w:tcPr>
            <w:tcW w:type="dxa" w:w="2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Actualizar a la versión corregida (cambio mayor) y repetir las pruebas de correo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receiptEmail.test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mi-cuenta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Medio</w:t>
            </w:r>
          </w:p>
        </w:tc>
        <w:tc>
          <w:tcPr>
            <w:tcW w:type="dxa" w:w="1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005</w:t>
            </w:r>
          </w:p>
        </w:tc>
      </w:tr>
      <w:tr>
        <w:tc>
          <w:tcPr>
            <w:tcW w:type="dxa" w:w="11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26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001 / RSK</w:t>
              <w:noBreakHyphen/>
              <w:t xml:space="preserve">002 Gestión de claves y secretos</w:t>
            </w:r>
          </w:p>
        </w:tc>
        <w:tc>
          <w:tcPr>
            <w:tcW w:type="dxa" w:w="2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Respaldo custodiado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ENC_KEY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HMAC_KEY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CRYPTO_KEYS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IDENT_HMAC_KEY</w:t>
            </w:r>
            <w:r>
              <w:rPr>
                <w:sz w:val="17"/>
                <w:szCs w:val="17"/>
              </w:rPr>
              <w:t xml:space="preserve">; rotación de secretos señalados; gestor de secretos</w:t>
            </w:r>
          </w:p>
        </w:tc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Medio</w:t>
            </w:r>
          </w:p>
        </w:tc>
        <w:tc>
          <w:tcPr>
            <w:tcW w:type="dxa" w:w="1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ADR</w:t>
              <w:noBreakHyphen/>
              <w:t xml:space="preserve">005</w:t>
            </w:r>
          </w:p>
        </w:tc>
      </w:tr>
      <w:tr>
        <w:tc>
          <w:tcPr>
            <w:tcW w:type="dxa" w:w="11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26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012 Sin TLS/CSP/HSTS</w:t>
            </w:r>
          </w:p>
        </w:tc>
        <w:tc>
          <w:tcPr>
            <w:tcW w:type="dxa" w:w="2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Proxy inverso con HTTPS, HSTS y CSP estricta</w:t>
            </w:r>
          </w:p>
        </w:tc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Medio</w:t>
            </w:r>
          </w:p>
        </w:tc>
        <w:tc>
          <w:tcPr>
            <w:tcW w:type="dxa" w:w="1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016</w:t>
            </w:r>
          </w:p>
        </w:tc>
      </w:tr>
      <w:tr>
        <w:tc>
          <w:tcPr>
            <w:tcW w:type="dxa" w:w="11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26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011 Tokens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localStorage</w:t>
            </w:r>
          </w:p>
        </w:tc>
        <w:tc>
          <w:tcPr>
            <w:tcW w:type="dxa" w:w="2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Cookie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HttpOnly; Secure; SameSite=Strict</w:t>
            </w:r>
            <w:r>
              <w:rPr>
                <w:sz w:val="17"/>
                <w:szCs w:val="17"/>
              </w:rPr>
              <w:t xml:space="preserve"> + CSRF</w:t>
            </w:r>
          </w:p>
        </w:tc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Alto</w:t>
            </w:r>
          </w:p>
        </w:tc>
        <w:tc>
          <w:tcPr>
            <w:tcW w:type="dxa" w:w="1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015</w:t>
            </w:r>
          </w:p>
        </w:tc>
      </w:tr>
      <w:tr>
        <w:tc>
          <w:tcPr>
            <w:tcW w:type="dxa" w:w="11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P2</w:t>
            </w:r>
          </w:p>
        </w:tc>
        <w:tc>
          <w:tcPr>
            <w:tcW w:type="dxa" w:w="26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003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API_BASE</w:t>
            </w:r>
            <w:r>
              <w:rPr>
                <w:sz w:val="17"/>
                <w:szCs w:val="17"/>
              </w:rPr>
              <w:t xml:space="preserve"> fijo</w:t>
            </w:r>
          </w:p>
        </w:tc>
        <w:tc>
          <w:tcPr>
            <w:tcW w:type="dxa" w:w="2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Usar rutas relativas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''</w:t>
            </w:r>
            <w:r>
              <w:rPr>
                <w:sz w:val="17"/>
                <w:szCs w:val="17"/>
              </w:rPr>
              <w:t xml:space="preserve">) o configuración inyectada por el servidor</w:t>
            </w:r>
          </w:p>
        </w:tc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Bajo</w:t>
            </w:r>
          </w:p>
        </w:tc>
        <w:tc>
          <w:tcPr>
            <w:tcW w:type="dxa" w:w="1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DIS</w:t>
              <w:noBreakHyphen/>
              <w:t xml:space="preserve">009</w:t>
            </w:r>
          </w:p>
        </w:tc>
      </w:tr>
      <w:tr>
        <w:tc>
          <w:tcPr>
            <w:tcW w:type="dxa" w:w="11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P2</w:t>
            </w:r>
          </w:p>
        </w:tc>
        <w:tc>
          <w:tcPr>
            <w:tcW w:type="dxa" w:w="26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010 Estado en memoria</w:t>
            </w:r>
          </w:p>
        </w:tc>
        <w:tc>
          <w:tcPr>
            <w:tcW w:type="dxa" w:w="2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Almacén compartido para captcha y limitadores, o captcha gestionado</w:t>
            </w:r>
          </w:p>
        </w:tc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Medio</w:t>
            </w:r>
          </w:p>
        </w:tc>
        <w:tc>
          <w:tcPr>
            <w:tcW w:type="dxa" w:w="1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ADR</w:t>
              <w:noBreakHyphen/>
              <w:t xml:space="preserve">010, RSK</w:t>
              <w:noBreakHyphen/>
              <w:t xml:space="preserve">014</w:t>
            </w:r>
          </w:p>
        </w:tc>
      </w:tr>
      <w:tr>
        <w:tc>
          <w:tcPr>
            <w:tcW w:type="dxa" w:w="11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P2</w:t>
            </w:r>
          </w:p>
        </w:tc>
        <w:tc>
          <w:tcPr>
            <w:tcW w:type="dxa" w:w="26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013 Datos heredados con clave débil</w:t>
            </w:r>
          </w:p>
        </w:tc>
        <w:tc>
          <w:tcPr>
            <w:tcW w:type="dxa" w:w="2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Script de recifrado en segundo plano hacia el anillo v2 con ventana de mantenimiento</w:t>
            </w:r>
          </w:p>
        </w:tc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Medio</w:t>
            </w:r>
          </w:p>
        </w:tc>
        <w:tc>
          <w:tcPr>
            <w:tcW w:type="dxa" w:w="1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ADR</w:t>
              <w:noBreakHyphen/>
              <w:t xml:space="preserve">005</w:t>
            </w:r>
          </w:p>
        </w:tc>
      </w:tr>
      <w:tr>
        <w:tc>
          <w:tcPr>
            <w:tcW w:type="dxa" w:w="11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P2</w:t>
            </w:r>
          </w:p>
        </w:tc>
        <w:tc>
          <w:tcPr>
            <w:tcW w:type="dxa" w:w="26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015 Sin retención/borrado</w:t>
            </w:r>
          </w:p>
        </w:tc>
        <w:tc>
          <w:tcPr>
            <w:tcW w:type="dxa" w:w="2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Definir plazos con validación jurídica y job de depuración</w:t>
            </w:r>
          </w:p>
        </w:tc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Medio</w:t>
            </w:r>
          </w:p>
        </w:tc>
        <w:tc>
          <w:tcPr>
            <w:tcW w:type="dxa" w:w="1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017</w:t>
            </w:r>
          </w:p>
        </w:tc>
      </w:tr>
      <w:tr>
        <w:tc>
          <w:tcPr>
            <w:tcW w:type="dxa" w:w="11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P2</w:t>
            </w:r>
          </w:p>
        </w:tc>
        <w:tc>
          <w:tcPr>
            <w:tcW w:type="dxa" w:w="26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040 Sin pasarela real</w:t>
            </w:r>
          </w:p>
        </w:tc>
        <w:tc>
          <w:tcPr>
            <w:tcW w:type="dxa" w:w="2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Adaptador de proveedor con sandbox y pruebas</w:t>
            </w:r>
          </w:p>
        </w:tc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Alto</w:t>
            </w:r>
          </w:p>
        </w:tc>
        <w:tc>
          <w:tcPr>
            <w:tcW w:type="dxa" w:w="1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ADR</w:t>
              <w:noBreakHyphen/>
              <w:t xml:space="preserve">009, RSK</w:t>
              <w:noBreakHyphen/>
              <w:t xml:space="preserve">015</w:t>
            </w:r>
          </w:p>
        </w:tc>
      </w:tr>
      <w:tr>
        <w:tc>
          <w:tcPr>
            <w:tcW w:type="dxa" w:w="11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P2</w:t>
            </w:r>
          </w:p>
        </w:tc>
        <w:tc>
          <w:tcPr>
            <w:tcW w:type="dxa" w:w="26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003 Migraciones automáticas sobre la base configurada</w:t>
            </w:r>
          </w:p>
        </w:tc>
        <w:tc>
          <w:tcPr>
            <w:tcW w:type="dxa" w:w="2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Bandera para desactivar migraciones al arrancar en producción y ejecutarlas por comando con respaldo previo</w:t>
            </w:r>
          </w:p>
        </w:tc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Bajo</w:t>
            </w:r>
          </w:p>
        </w:tc>
        <w:tc>
          <w:tcPr>
            <w:tcW w:type="dxa" w:w="1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ADR</w:t>
              <w:noBreakHyphen/>
              <w:t xml:space="preserve">002</w:t>
            </w:r>
          </w:p>
        </w:tc>
      </w:tr>
      <w:tr>
        <w:tc>
          <w:tcPr>
            <w:tcW w:type="dxa" w:w="11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P2</w:t>
            </w:r>
          </w:p>
        </w:tc>
        <w:tc>
          <w:tcPr>
            <w:tcW w:type="dxa" w:w="26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018 Sin etiquetas y sin fusionar</w:t>
            </w:r>
          </w:p>
        </w:tc>
        <w:tc>
          <w:tcPr>
            <w:tcW w:type="dxa" w:w="2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Fusionar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 mediante revisión y etiquetar versiones</w:t>
            </w:r>
          </w:p>
        </w:tc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Bajo</w:t>
            </w:r>
          </w:p>
        </w:tc>
        <w:tc>
          <w:tcPr>
            <w:tcW w:type="dxa" w:w="1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017</w:t>
            </w:r>
          </w:p>
        </w:tc>
      </w:tr>
      <w:tr>
        <w:tc>
          <w:tcPr>
            <w:tcW w:type="dxa" w:w="11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P2</w:t>
            </w:r>
          </w:p>
        </w:tc>
        <w:tc>
          <w:tcPr>
            <w:tcW w:type="dxa" w:w="26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036 Workflows no desplegados</w:t>
            </w:r>
          </w:p>
        </w:tc>
        <w:tc>
          <w:tcPr>
            <w:tcW w:type="dxa" w:w="2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Importar y probar W8, W11, W12 en una instancia controlada; retirar W5 y W9 si se confirma que no se usan</w:t>
            </w:r>
          </w:p>
        </w:tc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Medio</w:t>
            </w:r>
          </w:p>
        </w:tc>
        <w:tc>
          <w:tcPr>
            <w:tcW w:type="dxa" w:w="1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ADR</w:t>
              <w:noBreakHyphen/>
              <w:t xml:space="preserve">006</w:t>
            </w:r>
          </w:p>
        </w:tc>
      </w:tr>
      <w:tr>
        <w:tc>
          <w:tcPr>
            <w:tcW w:type="dxa" w:w="11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P3</w:t>
            </w:r>
          </w:p>
        </w:tc>
        <w:tc>
          <w:tcPr>
            <w:tcW w:type="dxa" w:w="26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002 Calificaciones sin límite</w:t>
            </w:r>
          </w:p>
        </w:tc>
        <w:tc>
          <w:tcPr>
            <w:tcW w:type="dxa" w:w="2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Limitador por IP y validación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conversacionId</w:t>
            </w:r>
          </w:p>
        </w:tc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Bajo</w:t>
            </w:r>
          </w:p>
        </w:tc>
        <w:tc>
          <w:tcPr>
            <w:tcW w:type="dxa" w:w="1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1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P3</w:t>
            </w:r>
          </w:p>
        </w:tc>
        <w:tc>
          <w:tcPr>
            <w:tcW w:type="dxa" w:w="26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trike/>
                <w:sz w:val="17"/>
                <w:szCs w:val="17"/>
              </w:rPr>
              <w:t xml:space="preserve">BUG</w:t>
              <w:noBreakHyphen/>
              <w:t xml:space="preserve">004 / BUG</w:t>
              <w:noBreakHyphen/>
              <w:t xml:space="preserve">005 Mi cuenta sin pantallas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 xml:space="preserve">Atendida el 2026-10-16</w:t>
            </w:r>
          </w:p>
        </w:tc>
        <w:tc>
          <w:tcPr>
            <w:tcW w:type="dxa" w:w="2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Página "Mi cuenta" (perfil, correo, sesiones, solicitudes) y pantalla de resolución para staff</w:t>
            </w:r>
          </w:p>
        </w:tc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Medio</w:t>
            </w:r>
          </w:p>
        </w:tc>
        <w:tc>
          <w:tcPr>
            <w:tcW w:type="dxa" w:w="1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010…013</w:t>
            </w:r>
          </w:p>
        </w:tc>
      </w:tr>
      <w:tr>
        <w:tc>
          <w:tcPr>
            <w:tcW w:type="dxa" w:w="11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P3</w:t>
            </w:r>
          </w:p>
        </w:tc>
        <w:tc>
          <w:tcPr>
            <w:tcW w:type="dxa" w:w="26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007 Código muerto con hash</w:t>
            </w:r>
          </w:p>
        </w:tc>
        <w:tc>
          <w:tcPr>
            <w:tcW w:type="dxa" w:w="2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Eliminar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USUARIOS_SEED</w:t>
            </w:r>
            <w:r>
              <w:rPr>
                <w:sz w:val="17"/>
                <w:szCs w:val="17"/>
              </w:rPr>
              <w:t xml:space="preserve">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db.js</w:t>
            </w:r>
          </w:p>
        </w:tc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Bajo</w:t>
            </w:r>
          </w:p>
        </w:tc>
        <w:tc>
          <w:tcPr>
            <w:tcW w:type="dxa" w:w="1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1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P3</w:t>
            </w:r>
          </w:p>
        </w:tc>
        <w:tc>
          <w:tcPr>
            <w:tcW w:type="dxa" w:w="26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008 Documentación previa inconsistente</w:t>
            </w:r>
          </w:p>
        </w:tc>
        <w:tc>
          <w:tcPr>
            <w:tcW w:type="dxa" w:w="2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Actualizar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README.md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backend/README.md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docs/VARIABLES_ENTORNO.md</w:t>
            </w:r>
            <w:r>
              <w:rPr>
                <w:sz w:val="17"/>
                <w:szCs w:val="17"/>
              </w:rPr>
              <w:t xml:space="preserve"> y referencias 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mfaCourier.js</w:t>
            </w:r>
          </w:p>
        </w:tc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Bajo</w:t>
            </w:r>
          </w:p>
        </w:tc>
        <w:tc>
          <w:tcPr>
            <w:tcW w:type="dxa" w:w="1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016</w:t>
            </w:r>
          </w:p>
        </w:tc>
      </w:tr>
      <w:tr>
        <w:tc>
          <w:tcPr>
            <w:tcW w:type="dxa" w:w="11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P3</w:t>
            </w:r>
          </w:p>
        </w:tc>
        <w:tc>
          <w:tcPr>
            <w:tcW w:type="dxa" w:w="26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009 Archivos residuales</w:t>
            </w:r>
          </w:p>
        </w:tc>
        <w:tc>
          <w:tcPr>
            <w:tcW w:type="dxa" w:w="2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Retirar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file.md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backend/scratch_detalle.js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backend/probar-mfa-n8n.js</w:t>
            </w:r>
            <w:r>
              <w:rPr>
                <w:sz w:val="17"/>
                <w:szCs w:val="17"/>
              </w:rPr>
              <w:t xml:space="preserve"> previa confirmación</w:t>
            </w:r>
          </w:p>
        </w:tc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Bajo</w:t>
            </w:r>
          </w:p>
        </w:tc>
        <w:tc>
          <w:tcPr>
            <w:tcW w:type="dxa" w:w="1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1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P3</w:t>
            </w:r>
          </w:p>
        </w:tc>
        <w:tc>
          <w:tcPr>
            <w:tcW w:type="dxa" w:w="26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016 i18n incompleto</w:t>
            </w:r>
          </w:p>
        </w:tc>
        <w:tc>
          <w:tcPr>
            <w:tcW w:type="dxa" w:w="2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Completar claves de las páginas nuevas</w:t>
            </w:r>
          </w:p>
        </w:tc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Medio</w:t>
            </w:r>
          </w:p>
        </w:tc>
        <w:tc>
          <w:tcPr>
            <w:tcW w:type="dxa" w:w="1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038</w:t>
            </w:r>
          </w:p>
        </w:tc>
      </w:tr>
      <w:tr>
        <w:tc>
          <w:tcPr>
            <w:tcW w:type="dxa" w:w="11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P3</w:t>
            </w:r>
          </w:p>
        </w:tc>
        <w:tc>
          <w:tcPr>
            <w:tcW w:type="dxa" w:w="26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017 Dos librerías bcrypt</w:t>
            </w:r>
          </w:p>
        </w:tc>
        <w:tc>
          <w:tcPr>
            <w:tcW w:type="dxa" w:w="2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Unificar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bcrypt</w:t>
            </w:r>
            <w:r>
              <w:rPr>
                <w:sz w:val="17"/>
                <w:szCs w:val="17"/>
              </w:rPr>
              <w:t xml:space="preserve"> (mantener compatibilidad de hashes)</w:t>
            </w:r>
          </w:p>
        </w:tc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Bajo</w:t>
            </w:r>
          </w:p>
        </w:tc>
        <w:tc>
          <w:tcPr>
            <w:tcW w:type="dxa" w:w="1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1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P3</w:t>
            </w:r>
          </w:p>
        </w:tc>
        <w:tc>
          <w:tcPr>
            <w:tcW w:type="dxa" w:w="26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API sin versionado</w:t>
            </w:r>
          </w:p>
        </w:tc>
        <w:tc>
          <w:tcPr>
            <w:tcW w:type="dxa" w:w="2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Prefijo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/api/v1</w:t>
            </w:r>
            <w:r>
              <w:rPr>
                <w:sz w:val="17"/>
                <w:szCs w:val="17"/>
              </w:rPr>
              <w:t xml:space="preserve"> y especificación OpenAPI</w:t>
            </w:r>
          </w:p>
        </w:tc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Medio</w:t>
            </w:r>
          </w:p>
        </w:tc>
        <w:tc>
          <w:tcPr>
            <w:tcW w:type="dxa" w:w="1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DIS</w:t>
              <w:noBreakHyphen/>
              <w:t xml:space="preserve">003</w:t>
            </w:r>
          </w:p>
        </w:tc>
      </w:tr>
      <w:tr>
        <w:tc>
          <w:tcPr>
            <w:tcW w:type="dxa" w:w="11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P3</w:t>
            </w:r>
          </w:p>
        </w:tc>
        <w:tc>
          <w:tcPr>
            <w:tcW w:type="dxa" w:w="26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db.js</w:t>
            </w:r>
            <w:r>
              <w:rPr>
                <w:sz w:val="17"/>
                <w:szCs w:val="17"/>
              </w:rPr>
              <w:t xml:space="preserve"> de 1296 líneas mezcla DDL y datos semilla</w:t>
            </w:r>
          </w:p>
        </w:tc>
        <w:tc>
          <w:tcPr>
            <w:tcW w:type="dxa" w:w="2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Separar semillas a archivos de datos y DDL base a una migración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000</w:t>
            </w:r>
          </w:p>
        </w:tc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Medio</w:t>
            </w:r>
          </w:p>
        </w:tc>
        <w:tc>
          <w:tcPr>
            <w:tcW w:type="dxa" w:w="1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DIS</w:t>
              <w:noBreakHyphen/>
              <w:t xml:space="preserve">011</w:t>
            </w:r>
          </w:p>
        </w:tc>
      </w:tr>
      <w:tr>
        <w:tc>
          <w:tcPr>
            <w:tcW w:type="dxa" w:w="11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P3</w:t>
            </w:r>
          </w:p>
        </w:tc>
        <w:tc>
          <w:tcPr>
            <w:tcW w:type="dxa" w:w="26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routes/verificacion.js</w:t>
            </w:r>
            <w:r>
              <w:rPr>
                <w:sz w:val="17"/>
                <w:szCs w:val="17"/>
              </w:rPr>
              <w:t xml:space="preserve"> de 1544 líneas</w:t>
            </w:r>
          </w:p>
        </w:tc>
        <w:tc>
          <w:tcPr>
            <w:tcW w:type="dxa" w:w="2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Dividir en routers de titular, staff y compra</w:t>
            </w:r>
          </w:p>
        </w:tc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Medio</w:t>
            </w:r>
          </w:p>
        </w:tc>
        <w:tc>
          <w:tcPr>
            <w:tcW w:type="dxa" w:w="1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04</w:t>
            </w:r>
          </w:p>
        </w:tc>
      </w:tr>
      <w:tr>
        <w:tc>
          <w:tcPr>
            <w:tcW w:type="dxa" w:w="11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P3</w:t>
            </w:r>
          </w:p>
        </w:tc>
        <w:tc>
          <w:tcPr>
            <w:tcW w:type="dxa" w:w="26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CI</w:t>
            </w:r>
          </w:p>
        </w:tc>
        <w:tc>
          <w:tcPr>
            <w:tcW w:type="dxa" w:w="28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Ejecutar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test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audit</w:t>
            </w:r>
            <w:r>
              <w:rPr>
                <w:sz w:val="17"/>
                <w:szCs w:val="17"/>
              </w:rPr>
              <w:t xml:space="preserve"> en cada cambio</w:t>
            </w:r>
          </w:p>
        </w:tc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Bajo</w:t>
            </w:r>
          </w:p>
        </w:tc>
        <w:tc>
          <w:tcPr>
            <w:tcW w:type="dxa" w:w="1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012</w:t>
            </w:r>
          </w:p>
        </w:tc>
      </w:tr>
    </w:tbl>
    <w:p>
      <w:pPr>
        <w:spacing w:after="80"/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600" w:footer="600" w:gutter="0"/>
          <w:pgNumType/>
          <w:docGrid w:linePitch="360"/>
        </w:sectPr>
      </w:pPr>
    </w:p>
    <w:p>
      <w:pPr>
        <w:pStyle w:val="Heading2"/>
        <w:keepNext/>
      </w:pPr>
      <w:r>
        <w:t xml:space="preserve">3. Hoja de ruta sugerida [REC]</w:t>
      </w:r>
    </w:p>
    <w:p>
      <w:pPr>
        <w:spacing w:after="160" w:before="80" w:line="240"/>
        <w:jc w:val="center"/>
        <w:sectPr>
          <w:headerReference w:type="default" r:id="rId8"/>
          <w:footerReference w:type="default" r:id="rId9"/>
          <w:pgSz w:w="15840" w:h="12240" w:orient="landscape"/>
          <w:pgMar w:top="1440" w:right="1440" w:bottom="1440" w:left="1440" w:header="600" w:footer="600" w:gutter="0"/>
          <w:pgNumType/>
          <w:docGrid w:linePitch="360"/>
        </w:sectPr>
      </w:pPr>
      <w:r>
        <w:drawing>
          <wp:inline distT="0" distB="0" distL="0" distR="0">
            <wp:extent cx="8191500" cy="962025"/>
            <wp:effectExtent t="0" r="0" b="0" l="0"/>
            <wp:docPr id="5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fuhzmssspyi-lfcr91f25">
        <w:r>
          <w:rPr>
            <w:color w:val="1D4ED8"/>
            <w:u w:val="single"/>
          </w:rPr>
          <w:t xml:space="preserve">../05_PRUEBAS/09_REGISTRO_DE_DEFECTOS.docx</w:t>
        </w:r>
      </w:hyperlink>
      <w:r>
        <w:t xml:space="preserve"> · </w:t>
      </w:r>
      <w:hyperlink w:history="1" r:id="rId6wdv_-xmrvxff8cvhqhfn">
        <w:r>
          <w:rPr>
            <w:color w:val="1D4ED8"/>
            <w:u w:val="single"/>
          </w:rPr>
          <w:t xml:space="preserve">../00_GESTION_DEL_PROYECTO/06_MATRIZ_DE_RIESGOS.docx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bujwckdhha07i4v8yj0k3">
        <w:r>
          <w:rPr>
            <w:color w:val="1D4ED8"/>
            <w:u w:val="single"/>
          </w:rPr>
          <w:t xml:space="preserve">10_DISENO_DE_SEGURIDAD.docx</w:t>
        </w:r>
      </w:hyperlink>
      <w:r>
        <w:t xml:space="preserve"> · </w:t>
      </w:r>
      <w:hyperlink w:history="1" r:id="rId_cqcus_p8sdqks1_tddz8">
        <w:r>
          <w:rPr>
            <w:color w:val="1D4ED8"/>
            <w:u w:val="single"/>
          </w:rPr>
          <w:t xml:space="preserve">02_ARQUITECTURA_ACTUAL.docx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uugtjy0n6vfa6qojvjtf1">
        <w:r>
          <w:rPr>
            <w:color w:val="1D4ED8"/>
            <w:u w:val="single"/>
          </w:rPr>
          <w:t xml:space="preserve">../docs/AUDITORIA_TECNICA.md</w:t>
        </w:r>
      </w:hyperlink>
      <w:r>
        <w:t xml:space="preserve"> §5 · </w:t>
      </w:r>
      <w:hyperlink w:history="1" r:id="rId1hnpy3skfk8dma5gta-_g">
        <w:r>
          <w:rPr>
            <w:color w:val="1D4ED8"/>
            <w:u w:val="single"/>
          </w:rPr>
          <w:t xml:space="preserve">../docs/REGISTRO_VERIFICADO.md</w:t>
        </w:r>
      </w:hyperlink>
      <w:r>
        <w:t xml:space="preserve"> §8</w:t>
      </w:r>
    </w:p>
    <w:sectPr>
      <w:headerReference w:type="default" r:id="rId10"/>
      <w:footerReference w:type="default" r:id="rId11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Deuda técnica y mejoras propuestas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Deuda técnica y mejoras propuestas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Deuda técnica y mejoras propuestas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fuhzmssspyi-lfcr91f25" Type="http://schemas.openxmlformats.org/officeDocument/2006/relationships/hyperlink" Target="../05_PRUEBAS/09_REGISTRO_DE_DEFECTOS.docx" TargetMode="External"/><Relationship Id="rId6wdv_-xmrvxff8cvhqhfn" Type="http://schemas.openxmlformats.org/officeDocument/2006/relationships/hyperlink" Target="../00_GESTION_DEL_PROYECTO/06_MATRIZ_DE_RIESGOS.docx" TargetMode="External"/><Relationship Id="rIdbujwckdhha07i4v8yj0k3" Type="http://schemas.openxmlformats.org/officeDocument/2006/relationships/hyperlink" Target="10_DISENO_DE_SEGURIDAD.docx" TargetMode="External"/><Relationship Id="rId_cqcus_p8sdqks1_tddz8" Type="http://schemas.openxmlformats.org/officeDocument/2006/relationships/hyperlink" Target="02_ARQUITECTURA_ACTUAL.docx" TargetMode="External"/><Relationship Id="rIduugtjy0n6vfa6qojvjtf1" Type="http://schemas.openxmlformats.org/officeDocument/2006/relationships/hyperlink" Target="../docs/AUDITORIA_TECNICA.md" TargetMode="External"/><Relationship Id="rId1hnpy3skfk8dma5gta-_g" Type="http://schemas.openxmlformats.org/officeDocument/2006/relationships/hyperlink" Target="../docs/REGISTRO_VERIFICADO.md" TargetMode="External"/><Relationship Id="rId19" Type="http://schemas.openxmlformats.org/officeDocument/2006/relationships/image" Target="media/25be9d264da0c8b7dcd36747c2796d68808f18cb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Deuda técnica y mejoras propuestas</dc:title>
  <dc:creator>Suministros Institucionales — documentación del proyecto</dc:creator>
  <dc:description>Generado a partir de 03_DISENO/12_DEUDA_TECNICA_Y_MEJORAS_PROPUESTAS.md</dc:description>
  <cp:lastModifiedBy>Un-named</cp:lastModifiedBy>
  <cp:revision>1</cp:revision>
  <dcterms:created xsi:type="dcterms:W3CDTF">2026-10-16T16:41:03.526Z</dcterms:created>
  <dcterms:modified xsi:type="dcterms:W3CDTF">2026-10-16T16:41:03.526Z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