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Pruebas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04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Agrupar por proceso de negocio los casos funcionales TC</w:t>
        <w:noBreakHyphen/>
        <w:t xml:space="preserve">001…TC</w:t>
        <w:noBreakHyphen/>
        <w:t xml:space="preserve">040, indicar qué cubrió la corrida automatizada del 2026-10-16 y describir cómo completar los que quedaron sin ejecutar.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Casos funcionales del </w:t>
      </w:r>
      <w:hyperlink w:history="1" r:id="rIdxb1180ocdkcl_l-o7vky_">
        <w:r>
          <w:rPr>
            <w:color w:val="1D4ED8"/>
            <w:u w:val="single"/>
          </w:rPr>
          <w:t xml:space="preserve">catálogo</w:t>
        </w:r>
      </w:hyperlink>
      <w:r>
        <w:t xml:space="preserve">. Las pruebas manuales descritas aquí </w:t>
      </w:r>
      <w:r>
        <w:rPr>
          <w:b/>
          <w:bCs/>
        </w:rPr>
        <w:t xml:space="preserve">no se ejecutaron</w:t>
      </w:r>
      <w:r>
        <w:t xml:space="preserve"> en esta auditoría.</w:t>
      </w:r>
    </w:p>
    <w:p>
      <w:pPr>
        <w:pStyle w:val="Heading2"/>
        <w:keepNext/>
      </w:pPr>
      <w:r>
        <w:t xml:space="preserve">1. Cobertura por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4"/>
        <w:gridCol w:w="1982"/>
        <w:gridCol w:w="2149"/>
        <w:gridCol w:w="2555"/>
      </w:tblGrid>
      <w:tr>
        <w:trPr>
          <w:tblHeader/>
        </w:trP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Proceso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Casos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Aprobados hoy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Pendientes de ejecutar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y aprobación (UC</w:t>
              <w:noBreakHyphen/>
              <w:t xml:space="preserve">001, UC</w:t>
              <w:noBreakHyphen/>
              <w:t xml:space="preserve">002)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001…TC</w:t>
              <w:noBreakHyphen/>
              <w:t xml:space="preserve">004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001, TC</w:t>
              <w:noBreakHyphen/>
              <w:t xml:space="preserve">002, TC</w:t>
              <w:noBreakHyphen/>
              <w:t xml:space="preserve">004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003 (sincronización del padrón)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 y sesión (UC</w:t>
              <w:noBreakHyphen/>
              <w:t xml:space="preserve">003…UC</w:t>
              <w:noBreakHyphen/>
              <w:t xml:space="preserve">005)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005…TC</w:t>
              <w:noBreakHyphen/>
              <w:t xml:space="preserve">009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005, TC</w:t>
              <w:noBreakHyphen/>
              <w:t xml:space="preserve">006, TC</w:t>
              <w:noBreakHyphen/>
              <w:t xml:space="preserve">007, TC</w:t>
              <w:noBreakHyphen/>
              <w:t xml:space="preserve">009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006.b cancelar, TC</w:t>
              <w:noBreakHyphen/>
              <w:t xml:space="preserve">008 refresh/logout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 cuenta (UC</w:t>
              <w:noBreakHyphen/>
              <w:t xml:space="preserve">006)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010…TC</w:t>
              <w:noBreakHyphen/>
              <w:t xml:space="preserve">013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010…TC</w:t>
              <w:noBreakHyphen/>
              <w:t xml:space="preserve">013 (API) y prueba de interfaz del 2026-10-16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Formulario de cambio de correo sin recorrido de interfaz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(UC</w:t>
              <w:noBreakHyphen/>
              <w:t xml:space="preserve">007, UC</w:t>
              <w:noBreakHyphen/>
              <w:t xml:space="preserve">015)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014…TC</w:t>
              <w:noBreakHyphen/>
              <w:t xml:space="preserve">017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014 (reglas)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014.b, TC</w:t>
              <w:noBreakHyphen/>
              <w:t xml:space="preserve">015, TC</w:t>
              <w:noBreakHyphen/>
              <w:t xml:space="preserve">016, TC</w:t>
              <w:noBreakHyphen/>
              <w:t xml:space="preserve">017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 y pagos (UC</w:t>
              <w:noBreakHyphen/>
              <w:t xml:space="preserve">008, UC</w:t>
              <w:noBreakHyphen/>
              <w:t xml:space="preserve">009)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018…TC</w:t>
              <w:noBreakHyphen/>
              <w:t xml:space="preserve">022, TC</w:t>
              <w:noBreakHyphen/>
              <w:t xml:space="preserve">040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020, TC</w:t>
              <w:noBreakHyphen/>
              <w:t xml:space="preserve">021.b, TC</w:t>
              <w:noBreakHyphen/>
              <w:t xml:space="preserve">022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018, TC</w:t>
              <w:noBreakHyphen/>
              <w:t xml:space="preserve">019, TC</w:t>
              <w:noBreakHyphen/>
              <w:t xml:space="preserve">021; TC</w:t>
              <w:noBreakHyphen/>
              <w:t xml:space="preserve">040 no implementado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Pedidos y comprobantes (UC</w:t>
              <w:noBreakHyphen/>
              <w:t xml:space="preserve">010, UC</w:t>
              <w:noBreakHyphen/>
              <w:t xml:space="preserve">011, UC</w:t>
              <w:noBreakHyphen/>
              <w:t xml:space="preserve">016)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023…TC</w:t>
              <w:noBreakHyphen/>
              <w:t xml:space="preserve">025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025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023, TC</w:t>
              <w:noBreakHyphen/>
              <w:t xml:space="preserve">024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Clientes (UC</w:t>
              <w:noBreakHyphen/>
              <w:t xml:space="preserve">017)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026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026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(UC</w:t>
              <w:noBreakHyphen/>
              <w:t xml:space="preserve">012…UC</w:t>
              <w:noBreakHyphen/>
              <w:t xml:space="preserve">014, UC</w:t>
              <w:noBreakHyphen/>
              <w:t xml:space="preserve">018)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027…TC</w:t>
              <w:noBreakHyphen/>
              <w:t xml:space="preserve">030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028 (tabla), sub-casos de TC</w:t>
              <w:noBreakHyphen/>
              <w:t xml:space="preserve">027 y TC</w:t>
              <w:noBreakHyphen/>
              <w:t xml:space="preserve">029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Flujos HTTP de TC</w:t>
              <w:noBreakHyphen/>
              <w:t xml:space="preserve">027…TC</w:t>
              <w:noBreakHyphen/>
              <w:t xml:space="preserve">030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Asistente, contacto, reportes, auditoría (UC</w:t>
              <w:noBreakHyphen/>
              <w:t xml:space="preserve">019…UC</w:t>
              <w:noBreakHyphen/>
              <w:t xml:space="preserve">022)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031…TC</w:t>
              <w:noBreakHyphen/>
              <w:t xml:space="preserve">034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031, TC</w:t>
              <w:noBreakHyphen/>
              <w:t xml:space="preserve">034.b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032, TC</w:t>
              <w:noBreakHyphen/>
              <w:t xml:space="preserve">033, TC</w:t>
              <w:noBreakHyphen/>
              <w:t xml:space="preserve">034</w:t>
            </w:r>
          </w:p>
        </w:tc>
      </w:tr>
      <w:tr>
        <w:tc>
          <w:tcPr>
            <w:tcW w:type="dxa" w:w="26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Automatización y plataforma (UC</w:t>
              <w:noBreakHyphen/>
              <w:t xml:space="preserve">023)</w:t>
            </w:r>
          </w:p>
        </w:tc>
        <w:tc>
          <w:tcPr>
            <w:tcW w:type="dxa" w:w="19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035…TC</w:t>
              <w:noBreakHyphen/>
              <w:t xml:space="preserve">039</w:t>
            </w:r>
          </w:p>
        </w:tc>
        <w:tc>
          <w:tcPr>
            <w:tcW w:type="dxa" w:w="2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035, TC</w:t>
              <w:noBreakHyphen/>
              <w:t xml:space="preserve">037</w:t>
            </w:r>
          </w:p>
        </w:tc>
        <w:tc>
          <w:tcPr>
            <w:tcW w:type="dxa" w:w="2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036, TC</w:t>
              <w:noBreakHyphen/>
              <w:t xml:space="preserve">037.b, TC</w:t>
              <w:noBreakHyphen/>
              <w:t xml:space="preserve">038, TC</w:t>
              <w:noBreakHyphen/>
              <w:t xml:space="preserve">039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Procedimiento manual recomendado (entorno autorizado)</w:t>
      </w:r>
    </w:p>
    <w:p>
      <w:pPr>
        <w:spacing w:after="120"/>
      </w:pPr>
      <w:r>
        <w:t xml:space="preserve">Ejecutar solo contra una base </w:t>
      </w:r>
      <w:r>
        <w:rPr>
          <w:b/>
          <w:bCs/>
        </w:rPr>
        <w:t xml:space="preserve">de pruebas</w:t>
      </w:r>
      <w:r>
        <w:t xml:space="preserve"> (nunca Clever Cloud de producción) y con cuentas sintéticas.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Preparar MySQL de pruebas (ver </w:t>
      </w:r>
      <w:hyperlink w:history="1" r:id="rIdzlykr7iq_rwwmkpntpohz">
        <w:r>
          <w:rPr>
            <w:color w:val="1D4ED8"/>
            <w:u w:val="single"/>
          </w:rPr>
          <w:t xml:space="preserve">05_PRUEBAS_DE_INTEGRACION.docx</w:t>
        </w:r>
      </w:hyperlink>
      <w:r>
        <w:t xml:space="preserve">) y apuntar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a ella.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Generar claves: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claves:generar</w:t>
      </w:r>
      <w:r>
        <w:t xml:space="preserve"> (solo agrega las que falten).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Levantar Mailpit (SMTP 1025, buzón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http://localhost:8025</w:t>
      </w:r>
      <w:r>
        <w:t xml:space="preserve">) o dejar SMTP vacío para que el código se imprima en consola de laboratorio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[correo-laboratorio]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start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 y abrir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http://localhost:8081/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Crear cuentas sintéticas: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scripts/crear-cuentas-prueba.js --confirmar-base &lt;DB_NAME&gt;</w:t>
      </w:r>
      <w:r>
        <w:t xml:space="preserve"> (se niega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o si la base no contiene test/dev/local/prueba).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Recorrer, en este orden: registro (TC</w:t>
        <w:noBreakHyphen/>
        <w:t xml:space="preserve">001) → panel de solicitudes (TC</w:t>
        <w:noBreakHyphen/>
        <w:t xml:space="preserve">004) → login con MFA (TC</w:t>
        <w:noBreakHyphen/>
        <w:t xml:space="preserve">005, TC</w:t>
        <w:noBreakHyphen/>
        <w:t xml:space="preserve">006, incluida la cancelación) → catálogo como visitante y como cliente (TC</w:t>
        <w:noBreakHyphen/>
        <w:t xml:space="preserve">014, TC</w:t>
        <w:noBreakHyphen/>
        <w:t xml:space="preserve">015) → carrito y checkout con importes .00/.01/.02/.03 (TC</w:t>
        <w:noBreakHyphen/>
        <w:t xml:space="preserve">018, TC</w:t>
        <w:noBreakHyphen/>
        <w:t xml:space="preserve">019, TC</w:t>
        <w:noBreakHyphen/>
        <w:t xml:space="preserve">021) → historial y cancelación (TC</w:t>
        <w:noBreakHyphen/>
        <w:t xml:space="preserve">023) → comprobante PDF y reenvío (TC</w:t>
        <w:noBreakHyphen/>
        <w:t xml:space="preserve">025) → Mi verificación y panel de verificación (TC</w:t>
        <w:noBreakHyphen/>
        <w:t xml:space="preserve">027, TC</w:t>
        <w:noBreakHyphen/>
        <w:t xml:space="preserve">028) → compra de restringido con código (TC</w:t>
        <w:noBreakHyphen/>
        <w:t xml:space="preserve">029) → panel de productos (TC</w:t>
        <w:noBreakHyphen/>
        <w:t xml:space="preserve">016, TC</w:t>
        <w:noBreakHyphen/>
        <w:t xml:space="preserve">017) → asistente, contacto y calificación (TC</w:t>
        <w:noBreakHyphen/>
        <w:t xml:space="preserve">031, TC</w:t>
        <w:noBreakHyphen/>
        <w:t xml:space="preserve">032) → reportes y auditoría (TC</w:t>
        <w:noBreakHyphen/>
        <w:t xml:space="preserve">033, TC</w:t>
        <w:noBreakHyphen/>
        <w:t xml:space="preserve">034) → cambio de idioma y navegación (TC</w:t>
        <w:noBreakHyphen/>
        <w:t xml:space="preserve">038, TC</w:t>
        <w:noBreakHyphen/>
        <w:t xml:space="preserve">039).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Registrar cada resultado en </w:t>
      </w:r>
      <w:hyperlink w:history="1" r:id="rIdw4wrmhnji3meirzcxc9bp">
        <w:r>
          <w:rPr>
            <w:color w:val="1D4ED8"/>
            <w:u w:val="single"/>
          </w:rPr>
          <w:t xml:space="preserve">10_RESULTADOS_DE_EJECUCION.docx</w:t>
        </w:r>
      </w:hyperlink>
      <w:r>
        <w:t xml:space="preserve"> y las evidencias (capturas sin datos reales) en </w:t>
      </w:r>
      <w:hyperlink w:history="1" r:id="rIdqazj3x9os-91orfg5twfy">
        <w:r>
          <w:rPr>
            <w:color w:val="1D4ED8"/>
            <w:u w:val="single"/>
          </w:rPr>
          <w:t xml:space="preserve">13_EVIDENCIAS/</w:t>
        </w:r>
      </w:hyperlink>
      <w:r>
        <w:t xml:space="preserve">.</w:t>
      </w:r>
    </w:p>
    <w:p>
      <w:pPr>
        <w:pStyle w:val="Heading2"/>
        <w:keepNext/>
      </w:pPr>
      <w:r>
        <w:t xml:space="preserve">3. Observaciones funcionales por inspección (no ejecutadas)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Desde el 2026-10-16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frontend/mi-cuenta.html</w:t>
      </w:r>
      <w:r>
        <w:t xml:space="preserve"> cubre perfil, correo, cerrar sesiones y solicitudes,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frontend/admin-contacto.html</w:t>
      </w:r>
      <w:r>
        <w:t xml:space="preserve"> su resolución (BUG</w:t>
        <w:noBreakHyphen/>
        <w:t xml:space="preserve">004 y BUG</w:t>
        <w:noBreakHyphen/>
        <w:t xml:space="preserve">005 corregidos).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frontend/js/auth.js</w:t>
      </w:r>
      <w:r>
        <w:t xml:space="preserve"> fija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 = 'http://localhost:8081'</w:t>
      </w:r>
      <w:r>
        <w:t xml:space="preserve">; las pruebas manuales en otro origen fallarán (BUG</w:t>
        <w:noBreakHyphen/>
        <w:t xml:space="preserve">003).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/api/pedidos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/api/pagos/procesar</w:t>
      </w:r>
      <w:r>
        <w:t xml:space="preserve"> responden 410 (retirados); los pedidos solo se crean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/api/checkout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oyh3ojdckevrvehzwmuzm">
        <w:r>
          <w:rPr>
            <w:color w:val="1D4ED8"/>
            <w:u w:val="single"/>
          </w:rPr>
          <w:t xml:space="preserve">03_CATALOGO_DE_CASOS_DE_PRUEBA.docx</w:t>
        </w:r>
      </w:hyperlink>
      <w:r>
        <w:t xml:space="preserve"> · </w:t>
      </w:r>
      <w:hyperlink w:history="1" r:id="rIdpuihtepc1_79x2qs3joyk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../02_ANALISIS/05_CASOS_DE_USO.docx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9efequhlwgjyeioskyk6h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../docs/REGISTRO_VERIFICADO.md</w:t>
        </w:r>
      </w:hyperlink>
      <w:r>
        <w:t xml:space="preserve"> §6 · </w:t>
      </w:r>
      <w:hyperlink w:history="1" r:id="rIdzpwxhk3lz1qpznoa5ofwu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../docs/SUPERUSUARIO_Y_CUENTAS_PRUEBA.md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Pruebas funcionales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xb1180ocdkcl_l-o7vky_" Type="http://schemas.openxmlformats.org/officeDocument/2006/relationships/hyperlink" Target="03_CATALOGO_DE_CASOS_DE_PRUEBA.docx" TargetMode="External"/><Relationship Id="rIdzlykr7iq_rwwmkpntpohz" Type="http://schemas.openxmlformats.org/officeDocument/2006/relationships/hyperlink" Target="05_PRUEBAS_DE_INTEGRACION.docx" TargetMode="External"/><Relationship Id="rIdw4wrmhnji3meirzcxc9bp" Type="http://schemas.openxmlformats.org/officeDocument/2006/relationships/hyperlink" Target="10_RESULTADOS_DE_EJECUCION.docx" TargetMode="External"/><Relationship Id="rIdqazj3x9os-91orfg5twfy" Type="http://schemas.openxmlformats.org/officeDocument/2006/relationships/hyperlink" Target="13_EVIDENCIAS/README.docx" TargetMode="External"/><Relationship Id="rIdoyh3ojdckevrvehzwmuzm" Type="http://schemas.openxmlformats.org/officeDocument/2006/relationships/hyperlink" Target="03_CATALOGO_DE_CASOS_DE_PRUEBA.docx" TargetMode="External"/><Relationship Id="rIdpuihtepc1_79x2qs3joyk" Type="http://schemas.openxmlformats.org/officeDocument/2006/relationships/hyperlink" Target="../02_ANALISIS/05_CASOS_DE_USO.docx" TargetMode="External"/><Relationship Id="rId9efequhlwgjyeioskyk6h" Type="http://schemas.openxmlformats.org/officeDocument/2006/relationships/hyperlink" Target="../docs/REGISTRO_VERIFICADO.md" TargetMode="External"/><Relationship Id="rIdzpwxhk3lz1qpznoa5ofwu" Type="http://schemas.openxmlformats.org/officeDocument/2006/relationships/hyperlink" Target="../docs/SUPERUSUARIO_Y_CUENTAS_PRUEBA.md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funcionales</dc:title>
  <dc:creator>Suministros Institucionales — documentación del proyecto</dc:creator>
  <dc:description>Generado a partir de 05_PRUEBAS/04_PRUEBAS_FUNCIONALES.md</dc:description>
  <cp:lastModifiedBy>Un-named</cp:lastModifiedBy>
  <cp:revision>1</cp:revision>
  <dcterms:created xsi:type="dcterms:W3CDTF">2026-10-16T16:41:03.681Z</dcterms:created>
  <dcterms:modified xsi:type="dcterms:W3CDTF">2026-10-16T16:41:03.681Z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