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036C" w14:textId="11091748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Documento de Arquitectura del Sistema</w:t>
      </w:r>
    </w:p>
    <w:p w14:paraId="2EF6039A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2EF4FBB8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lang w:val="es-ES" w:eastAsia="es-ES"/>
        </w:rPr>
        <w:t>Este documento describe la arquitectura del sistema de gestión de suministros institucionales, definiendo sus componentes principales, interacciones y justificación tecnológica.</w:t>
      </w:r>
    </w:p>
    <w:p w14:paraId="07699458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2. Arquitectura General</w:t>
      </w:r>
    </w:p>
    <w:p w14:paraId="786CA6EB" w14:textId="77777777" w:rsidR="00764B2C" w:rsidRPr="00221679" w:rsidRDefault="00764B2C" w:rsidP="00221679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Modelo Cliente-Servidor:</w:t>
      </w:r>
      <w:r w:rsidRPr="00221679">
        <w:rPr>
          <w:rFonts w:ascii="Arial" w:eastAsia="Times New Roman" w:hAnsi="Arial" w:cs="Arial"/>
          <w:lang w:val="es-ES" w:eastAsia="es-ES"/>
        </w:rPr>
        <w:t xml:space="preserve"> El sistema se basa en una arquitectura cliente-servidor, donde el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frontend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interactúa con el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mediante API REST.</w:t>
      </w:r>
    </w:p>
    <w:p w14:paraId="7B4C72FD" w14:textId="77777777" w:rsidR="00764B2C" w:rsidRPr="00221679" w:rsidRDefault="00764B2C" w:rsidP="00221679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Capas principales:</w:t>
      </w:r>
    </w:p>
    <w:p w14:paraId="3EE44A39" w14:textId="77777777" w:rsidR="00764B2C" w:rsidRPr="00221679" w:rsidRDefault="00764B2C" w:rsidP="00221679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221679">
        <w:rPr>
          <w:rFonts w:ascii="Arial" w:eastAsia="Times New Roman" w:hAnsi="Arial" w:cs="Arial"/>
          <w:b/>
          <w:bCs/>
          <w:lang w:val="es-ES" w:eastAsia="es-ES"/>
        </w:rPr>
        <w:t>Frontend</w:t>
      </w:r>
      <w:proofErr w:type="spellEnd"/>
      <w:r w:rsidRPr="00221679">
        <w:rPr>
          <w:rFonts w:ascii="Arial" w:eastAsia="Times New Roman" w:hAnsi="Arial" w:cs="Arial"/>
          <w:b/>
          <w:bCs/>
          <w:lang w:val="es-ES" w:eastAsia="es-ES"/>
        </w:rPr>
        <w:t>:</w:t>
      </w:r>
      <w:r w:rsidRPr="00221679">
        <w:rPr>
          <w:rFonts w:ascii="Arial" w:eastAsia="Times New Roman" w:hAnsi="Arial" w:cs="Arial"/>
          <w:lang w:val="es-ES" w:eastAsia="es-ES"/>
        </w:rPr>
        <w:t xml:space="preserve"> interfaz web responsive desarrollada con </w:t>
      </w:r>
      <w:r w:rsidRPr="00221679">
        <w:rPr>
          <w:rFonts w:ascii="Arial" w:eastAsia="Times New Roman" w:hAnsi="Arial" w:cs="Arial"/>
          <w:b/>
          <w:bCs/>
          <w:lang w:val="es-ES" w:eastAsia="es-ES"/>
        </w:rPr>
        <w:t>Bootstrap 5</w:t>
      </w:r>
      <w:r w:rsidRPr="00221679">
        <w:rPr>
          <w:rFonts w:ascii="Arial" w:eastAsia="Times New Roman" w:hAnsi="Arial" w:cs="Arial"/>
          <w:lang w:val="es-ES" w:eastAsia="es-ES"/>
        </w:rPr>
        <w:t xml:space="preserve"> y JavaScript.</w:t>
      </w:r>
    </w:p>
    <w:p w14:paraId="57003F5A" w14:textId="77777777" w:rsidR="00764B2C" w:rsidRPr="00221679" w:rsidRDefault="00764B2C" w:rsidP="00221679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221679">
        <w:rPr>
          <w:rFonts w:ascii="Arial" w:eastAsia="Times New Roman" w:hAnsi="Arial" w:cs="Arial"/>
          <w:b/>
          <w:bCs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b/>
          <w:bCs/>
          <w:lang w:val="es-ES" w:eastAsia="es-ES"/>
        </w:rPr>
        <w:t>:</w:t>
      </w:r>
      <w:r w:rsidRPr="00221679">
        <w:rPr>
          <w:rFonts w:ascii="Arial" w:eastAsia="Times New Roman" w:hAnsi="Arial" w:cs="Arial"/>
          <w:lang w:val="es-ES" w:eastAsia="es-ES"/>
        </w:rPr>
        <w:t xml:space="preserve"> servidor con </w:t>
      </w:r>
      <w:r w:rsidRPr="00221679">
        <w:rPr>
          <w:rFonts w:ascii="Arial" w:eastAsia="Times New Roman" w:hAnsi="Arial" w:cs="Arial"/>
          <w:b/>
          <w:bCs/>
          <w:lang w:val="es-ES" w:eastAsia="es-ES"/>
        </w:rPr>
        <w:t>Node.js + Express</w:t>
      </w:r>
      <w:r w:rsidRPr="00221679">
        <w:rPr>
          <w:rFonts w:ascii="Arial" w:eastAsia="Times New Roman" w:hAnsi="Arial" w:cs="Arial"/>
          <w:lang w:val="es-ES" w:eastAsia="es-ES"/>
        </w:rPr>
        <w:t>, encargado de la lógica de negocio y seguridad.</w:t>
      </w:r>
    </w:p>
    <w:p w14:paraId="3F8B46F2" w14:textId="77777777" w:rsidR="00764B2C" w:rsidRPr="00221679" w:rsidRDefault="00764B2C" w:rsidP="00221679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Base de datos:</w:t>
      </w:r>
      <w:r w:rsidRPr="00221679">
        <w:rPr>
          <w:rFonts w:ascii="Arial" w:eastAsia="Times New Roman" w:hAnsi="Arial" w:cs="Arial"/>
          <w:lang w:val="es-ES" w:eastAsia="es-ES"/>
        </w:rPr>
        <w:t xml:space="preserve"> </w:t>
      </w:r>
      <w:r w:rsidRPr="00221679">
        <w:rPr>
          <w:rFonts w:ascii="Arial" w:eastAsia="Times New Roman" w:hAnsi="Arial" w:cs="Arial"/>
          <w:b/>
          <w:bCs/>
          <w:lang w:val="es-ES" w:eastAsia="es-ES"/>
        </w:rPr>
        <w:t>MySQL</w:t>
      </w:r>
      <w:r w:rsidRPr="00221679">
        <w:rPr>
          <w:rFonts w:ascii="Arial" w:eastAsia="Times New Roman" w:hAnsi="Arial" w:cs="Arial"/>
          <w:lang w:val="es-ES" w:eastAsia="es-ES"/>
        </w:rPr>
        <w:t>, para almacenamiento estructurado de clientes, productos, pedidos, reportes e inventario.</w:t>
      </w:r>
    </w:p>
    <w:p w14:paraId="5D2D974A" w14:textId="77777777" w:rsidR="00764B2C" w:rsidRPr="00221679" w:rsidRDefault="00764B2C" w:rsidP="00221679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Pasarela de pago:</w:t>
      </w:r>
      <w:r w:rsidRPr="00221679">
        <w:rPr>
          <w:rFonts w:ascii="Arial" w:eastAsia="Times New Roman" w:hAnsi="Arial" w:cs="Arial"/>
          <w:lang w:val="es-ES" w:eastAsia="es-ES"/>
        </w:rPr>
        <w:t xml:space="preserve"> integración con servicios externos (PSE,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PayU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Wompi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>).</w:t>
      </w:r>
    </w:p>
    <w:p w14:paraId="3911E8DF" w14:textId="77777777" w:rsidR="00764B2C" w:rsidRPr="00221679" w:rsidRDefault="00764B2C" w:rsidP="00221679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Servidor de despliegue:</w:t>
      </w:r>
      <w:r w:rsidRPr="00221679">
        <w:rPr>
          <w:rFonts w:ascii="Arial" w:eastAsia="Times New Roman" w:hAnsi="Arial" w:cs="Arial"/>
          <w:lang w:val="es-ES" w:eastAsia="es-ES"/>
        </w:rPr>
        <w:t xml:space="preserve"> </w:t>
      </w:r>
      <w:r w:rsidRPr="00221679">
        <w:rPr>
          <w:rFonts w:ascii="Arial" w:eastAsia="Times New Roman" w:hAnsi="Arial" w:cs="Arial"/>
          <w:b/>
          <w:bCs/>
          <w:lang w:val="es-ES" w:eastAsia="es-ES"/>
        </w:rPr>
        <w:t>EC2 en AWS</w:t>
      </w:r>
      <w:r w:rsidRPr="00221679">
        <w:rPr>
          <w:rFonts w:ascii="Arial" w:eastAsia="Times New Roman" w:hAnsi="Arial" w:cs="Arial"/>
          <w:lang w:val="es-ES" w:eastAsia="es-ES"/>
        </w:rPr>
        <w:t xml:space="preserve">, con contenedores Docker y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Nginx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para balanceo.</w:t>
      </w:r>
    </w:p>
    <w:p w14:paraId="7F1F7791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3. Diagrama de Arquitectura (descripción textual)</w:t>
      </w:r>
    </w:p>
    <w:p w14:paraId="753AFD98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Cliente (navegador):</w:t>
      </w:r>
      <w:r w:rsidRPr="00221679">
        <w:rPr>
          <w:rFonts w:ascii="Arial" w:eastAsia="Times New Roman" w:hAnsi="Arial" w:cs="Arial"/>
          <w:lang w:val="es-ES" w:eastAsia="es-ES"/>
        </w:rPr>
        <w:t xml:space="preserve"> accede a las vistas (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, catálogo, carrito,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checkout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>).</w:t>
      </w:r>
    </w:p>
    <w:p w14:paraId="731F9D3D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221679">
        <w:rPr>
          <w:rFonts w:ascii="Arial" w:eastAsia="Times New Roman" w:hAnsi="Arial" w:cs="Arial"/>
          <w:b/>
          <w:bCs/>
          <w:lang w:val="es-ES" w:eastAsia="es-ES"/>
        </w:rPr>
        <w:t>Frontend</w:t>
      </w:r>
      <w:proofErr w:type="spellEnd"/>
      <w:r w:rsidRPr="00221679">
        <w:rPr>
          <w:rFonts w:ascii="Arial" w:eastAsia="Times New Roman" w:hAnsi="Arial" w:cs="Arial"/>
          <w:b/>
          <w:bCs/>
          <w:lang w:val="es-ES" w:eastAsia="es-ES"/>
        </w:rPr>
        <w:t>:</w:t>
      </w:r>
      <w:r w:rsidRPr="00221679">
        <w:rPr>
          <w:rFonts w:ascii="Arial" w:eastAsia="Times New Roman" w:hAnsi="Arial" w:cs="Arial"/>
          <w:lang w:val="es-ES" w:eastAsia="es-ES"/>
        </w:rPr>
        <w:t xml:space="preserve"> envía solicitudes HTTP al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>.</w:t>
      </w:r>
    </w:p>
    <w:p w14:paraId="1EE01217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221679">
        <w:rPr>
          <w:rFonts w:ascii="Arial" w:eastAsia="Times New Roman" w:hAnsi="Arial" w:cs="Arial"/>
          <w:b/>
          <w:bCs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b/>
          <w:bCs/>
          <w:lang w:val="es-ES" w:eastAsia="es-ES"/>
        </w:rPr>
        <w:t xml:space="preserve"> (API REST):</w:t>
      </w:r>
      <w:r w:rsidRPr="00221679">
        <w:rPr>
          <w:rFonts w:ascii="Arial" w:eastAsia="Times New Roman" w:hAnsi="Arial" w:cs="Arial"/>
          <w:lang w:val="es-ES" w:eastAsia="es-ES"/>
        </w:rPr>
        <w:t xml:space="preserve"> recibe solicitudes → valida autenticación JWT → procesa lógica → consulta base de datos → devuelve respuesta JSON.</w:t>
      </w:r>
    </w:p>
    <w:p w14:paraId="1522C99C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Base de datos MySQL:</w:t>
      </w:r>
      <w:r w:rsidRPr="00221679">
        <w:rPr>
          <w:rFonts w:ascii="Arial" w:eastAsia="Times New Roman" w:hAnsi="Arial" w:cs="Arial"/>
          <w:lang w:val="es-ES" w:eastAsia="es-ES"/>
        </w:rPr>
        <w:t xml:space="preserve"> almacena usuarios, clientes, productos, pedidos, reportes e inventario.</w:t>
      </w:r>
    </w:p>
    <w:p w14:paraId="729D238F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Pasarela de pago:</w:t>
      </w:r>
      <w:r w:rsidRPr="00221679">
        <w:rPr>
          <w:rFonts w:ascii="Arial" w:eastAsia="Times New Roman" w:hAnsi="Arial" w:cs="Arial"/>
          <w:lang w:val="es-ES" w:eastAsia="es-ES"/>
        </w:rPr>
        <w:t xml:space="preserve"> recibe datos de transacción → confirma o rechaza →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actualiza estado del pedido.</w:t>
      </w:r>
    </w:p>
    <w:p w14:paraId="116A2681" w14:textId="77777777" w:rsidR="00764B2C" w:rsidRPr="00221679" w:rsidRDefault="00764B2C" w:rsidP="00221679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Servidor EC2:</w:t>
      </w:r>
      <w:r w:rsidRPr="00221679">
        <w:rPr>
          <w:rFonts w:ascii="Arial" w:eastAsia="Times New Roman" w:hAnsi="Arial" w:cs="Arial"/>
          <w:lang w:val="es-ES" w:eastAsia="es-ES"/>
        </w:rPr>
        <w:t xml:space="preserve"> aloja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frontend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y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, con Docker para contenedores y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Nginx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para servir contenido.</w:t>
      </w:r>
    </w:p>
    <w:p w14:paraId="3053D897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lastRenderedPageBreak/>
        <w:t>4. Justificación Tecnológica</w:t>
      </w:r>
    </w:p>
    <w:p w14:paraId="1BA8D566" w14:textId="77777777" w:rsidR="00764B2C" w:rsidRPr="00221679" w:rsidRDefault="00764B2C" w:rsidP="00221679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Node.js + Express:</w:t>
      </w:r>
      <w:r w:rsidRPr="00221679">
        <w:rPr>
          <w:rFonts w:ascii="Arial" w:eastAsia="Times New Roman" w:hAnsi="Arial" w:cs="Arial"/>
          <w:lang w:val="es-ES" w:eastAsia="es-ES"/>
        </w:rPr>
        <w:t xml:space="preserve"> rápido, escalable, modular, ideal para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APIs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REST.</w:t>
      </w:r>
    </w:p>
    <w:p w14:paraId="370F7AE7" w14:textId="77777777" w:rsidR="00764B2C" w:rsidRPr="00221679" w:rsidRDefault="00764B2C" w:rsidP="00221679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MySQL:</w:t>
      </w:r>
      <w:r w:rsidRPr="00221679">
        <w:rPr>
          <w:rFonts w:ascii="Arial" w:eastAsia="Times New Roman" w:hAnsi="Arial" w:cs="Arial"/>
          <w:lang w:val="es-ES" w:eastAsia="es-ES"/>
        </w:rPr>
        <w:t xml:space="preserve"> robusto, ampliamente soportado, adecuado para relaciones entre clientes, pedidos y productos.</w:t>
      </w:r>
    </w:p>
    <w:p w14:paraId="67EAC961" w14:textId="77777777" w:rsidR="00764B2C" w:rsidRPr="00221679" w:rsidRDefault="00764B2C" w:rsidP="00221679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Bootstrap 5:</w:t>
      </w:r>
      <w:r w:rsidRPr="00221679">
        <w:rPr>
          <w:rFonts w:ascii="Arial" w:eastAsia="Times New Roman" w:hAnsi="Arial" w:cs="Arial"/>
          <w:lang w:val="es-ES" w:eastAsia="es-ES"/>
        </w:rPr>
        <w:t xml:space="preserve"> asegura diseño responsive y accesible.</w:t>
      </w:r>
    </w:p>
    <w:p w14:paraId="353C89CC" w14:textId="77777777" w:rsidR="00764B2C" w:rsidRPr="00221679" w:rsidRDefault="00764B2C" w:rsidP="00221679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Docker + EC2:</w:t>
      </w:r>
      <w:r w:rsidRPr="00221679">
        <w:rPr>
          <w:rFonts w:ascii="Arial" w:eastAsia="Times New Roman" w:hAnsi="Arial" w:cs="Arial"/>
          <w:lang w:val="es-ES" w:eastAsia="es-ES"/>
        </w:rPr>
        <w:t xml:space="preserve"> facilita despliegue, escalabilidad y mantenimiento.</w:t>
      </w:r>
    </w:p>
    <w:p w14:paraId="6E7F1EBD" w14:textId="77777777" w:rsidR="00764B2C" w:rsidRPr="00221679" w:rsidRDefault="00764B2C" w:rsidP="00221679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JWT:</w:t>
      </w:r>
      <w:r w:rsidRPr="00221679">
        <w:rPr>
          <w:rFonts w:ascii="Arial" w:eastAsia="Times New Roman" w:hAnsi="Arial" w:cs="Arial"/>
          <w:lang w:val="es-ES" w:eastAsia="es-ES"/>
        </w:rPr>
        <w:t xml:space="preserve"> garantiza seguridad en autenticación y autorización.</w:t>
      </w:r>
    </w:p>
    <w:p w14:paraId="1DCB2B61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5. Integraciones Externas</w:t>
      </w:r>
    </w:p>
    <w:p w14:paraId="164BDF50" w14:textId="77777777" w:rsidR="00764B2C" w:rsidRPr="00221679" w:rsidRDefault="00764B2C" w:rsidP="00221679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Pasarela de pago:</w:t>
      </w:r>
      <w:r w:rsidRPr="00221679">
        <w:rPr>
          <w:rFonts w:ascii="Arial" w:eastAsia="Times New Roman" w:hAnsi="Arial" w:cs="Arial"/>
          <w:lang w:val="es-ES" w:eastAsia="es-ES"/>
        </w:rPr>
        <w:t xml:space="preserve"> PSE,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PayU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221679">
        <w:rPr>
          <w:rFonts w:ascii="Arial" w:eastAsia="Times New Roman" w:hAnsi="Arial" w:cs="Arial"/>
          <w:lang w:val="es-ES" w:eastAsia="es-ES"/>
        </w:rPr>
        <w:t>Wompi</w:t>
      </w:r>
      <w:proofErr w:type="spellEnd"/>
      <w:r w:rsidRPr="00221679">
        <w:rPr>
          <w:rFonts w:ascii="Arial" w:eastAsia="Times New Roman" w:hAnsi="Arial" w:cs="Arial"/>
          <w:lang w:val="es-ES" w:eastAsia="es-ES"/>
        </w:rPr>
        <w:t xml:space="preserve"> para procesar transacciones.</w:t>
      </w:r>
    </w:p>
    <w:p w14:paraId="77C2C6F1" w14:textId="77777777" w:rsidR="00764B2C" w:rsidRPr="00221679" w:rsidRDefault="00764B2C" w:rsidP="00221679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Internacionalización:</w:t>
      </w:r>
      <w:r w:rsidRPr="00221679">
        <w:rPr>
          <w:rFonts w:ascii="Arial" w:eastAsia="Times New Roman" w:hAnsi="Arial" w:cs="Arial"/>
          <w:lang w:val="es-ES" w:eastAsia="es-ES"/>
        </w:rPr>
        <w:t xml:space="preserve"> soporte para español e inglés con traducción dinámica.</w:t>
      </w:r>
    </w:p>
    <w:p w14:paraId="06570550" w14:textId="77777777" w:rsidR="00764B2C" w:rsidRPr="00221679" w:rsidRDefault="00764B2C" w:rsidP="00221679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IoT (futuro):</w:t>
      </w:r>
      <w:r w:rsidRPr="00221679">
        <w:rPr>
          <w:rFonts w:ascii="Arial" w:eastAsia="Times New Roman" w:hAnsi="Arial" w:cs="Arial"/>
          <w:lang w:val="es-ES" w:eastAsia="es-ES"/>
        </w:rPr>
        <w:t xml:space="preserve"> integración con sensores ESP32 para monitoreo de inventario o métricas adicionales.</w:t>
      </w:r>
    </w:p>
    <w:p w14:paraId="537387FB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221679">
        <w:rPr>
          <w:rFonts w:ascii="Arial" w:eastAsia="Times New Roman" w:hAnsi="Arial" w:cs="Arial"/>
          <w:b/>
          <w:bCs/>
          <w:lang w:val="es-ES" w:eastAsia="es-ES"/>
        </w:rPr>
        <w:t>6. Conclusión</w:t>
      </w:r>
    </w:p>
    <w:p w14:paraId="123491B0" w14:textId="77777777" w:rsidR="00764B2C" w:rsidRPr="00221679" w:rsidRDefault="00764B2C" w:rsidP="00221679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221679">
        <w:rPr>
          <w:rFonts w:ascii="Arial" w:eastAsia="Times New Roman" w:hAnsi="Arial" w:cs="Arial"/>
          <w:lang w:val="es-ES" w:eastAsia="es-ES"/>
        </w:rPr>
        <w:t>La arquitectura propuesta asegura un sistema seguro, escalable y mantenible, con separación clara de responsabilidades y soporte para futuras ampliaciones.</w:t>
      </w:r>
    </w:p>
    <w:p w14:paraId="16920B9A" w14:textId="77777777" w:rsidR="00450EA8" w:rsidRPr="00221679" w:rsidRDefault="00450EA8" w:rsidP="00221679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221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957AA"/>
    <w:multiLevelType w:val="multilevel"/>
    <w:tmpl w:val="9B2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E780C"/>
    <w:multiLevelType w:val="multilevel"/>
    <w:tmpl w:val="753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B3907"/>
    <w:multiLevelType w:val="multilevel"/>
    <w:tmpl w:val="E9B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F0D7A"/>
    <w:multiLevelType w:val="multilevel"/>
    <w:tmpl w:val="53D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0003">
    <w:abstractNumId w:val="0"/>
  </w:num>
  <w:num w:numId="2" w16cid:durableId="1527208593">
    <w:abstractNumId w:val="3"/>
  </w:num>
  <w:num w:numId="3" w16cid:durableId="1225026982">
    <w:abstractNumId w:val="2"/>
  </w:num>
  <w:num w:numId="4" w16cid:durableId="129459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2C"/>
    <w:rsid w:val="00221679"/>
    <w:rsid w:val="00450EA8"/>
    <w:rsid w:val="0076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376AB"/>
  <w15:chartTrackingRefBased/>
  <w15:docId w15:val="{E21A7F53-8D6D-4FEF-91F9-D32F1D9F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764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764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64B2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64B2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764B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2026-09-04T19:44:00Z</dcterms:created>
  <dcterms:modified xsi:type="dcterms:W3CDTF">2026-09-04T20:31:00Z</dcterms:modified>
</cp:coreProperties>
</file>