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2F6B8A"/>
          <w:sz w:val="18"/>
        </w:rPr>
        <w:t>MORTGAGE INTELLIGENCE</w:t>
      </w:r>
    </w:p>
    <w:p>
      <w:pPr>
        <w:spacing w:after="60"/>
      </w:pPr>
      <w:r>
        <w:rPr>
          <w:rFonts w:ascii="Calibri" w:hAnsi="Calibri"/>
          <w:b/>
          <w:i w:val="0"/>
          <w:color w:val="17324D"/>
          <w:sz w:val="46"/>
        </w:rPr>
        <w:t>Needs and Objectives Assessment</w:t>
      </w:r>
    </w:p>
    <w:p>
      <w:pPr>
        <w:spacing w:after="240"/>
      </w:pPr>
      <w:r>
        <w:rPr>
          <w:rFonts w:ascii="Calibri" w:hAnsi="Calibri"/>
          <w:b w:val="0"/>
          <w:i w:val="0"/>
          <w:color w:val="6B7680"/>
          <w:sz w:val="23"/>
        </w:rPr>
        <w:t>Residential owner-occupied purchase</w:t>
      </w:r>
    </w:p>
    <w:tbl>
      <w:tblPr>
        <w:tblW w:type="auto" w:w="0"/>
        <w:jc w:val="left"/>
        <w:tblLayout w:type="fixed"/>
        <w:tblLook w:firstColumn="1" w:firstRow="1" w:lastColumn="0" w:lastRow="0" w:noHBand="0" w:noVBand="1" w:val="04A0"/>
      </w:tblPr>
      <w:tblGrid>
        <w:gridCol w:w="4997"/>
        <w:gridCol w:w="4997"/>
      </w:tblGrid>
      <w:tr>
        <w:tc>
          <w:tcPr>
            <w:tcW w:type="dxa" w:w="4968"/>
            <w:tcMar>
              <w:top w:w="80" w:type="dxa"/>
              <w:start w:w="120" w:type="dxa"/>
              <w:bottom w:w="80" w:type="dxa"/>
              <w:end w:w="120" w:type="dxa"/>
            </w:tcMar>
            <w:vAlign w:val="center"/>
          </w:tcPr>
          <w:p>
            <w:pPr>
              <w:spacing w:after="0"/>
            </w:pPr>
            <w:r>
              <w:rPr>
                <w:rFonts w:ascii="Calibri" w:hAnsi="Calibri"/>
                <w:b/>
                <w:i w:val="0"/>
                <w:color w:val="6B7680"/>
                <w:sz w:val="18"/>
              </w:rPr>
              <w:t xml:space="preserve">Application: </w:t>
            </w:r>
            <w:r>
              <w:rPr>
                <w:rFonts w:ascii="Calibri" w:hAnsi="Calibri"/>
                <w:b w:val="0"/>
                <w:i w:val="0"/>
                <w:color w:val="1F2933"/>
                <w:sz w:val="18"/>
              </w:rPr>
              <w:t>FIN-DEMO-0002</w:t>
            </w:r>
          </w:p>
        </w:tc>
        <w:tc>
          <w:tcPr>
            <w:tcW w:type="dxa" w:w="4968"/>
            <w:tcMar>
              <w:top w:w="80" w:type="dxa"/>
              <w:start w:w="120" w:type="dxa"/>
              <w:bottom w:w="80" w:type="dxa"/>
              <w:end w:w="120" w:type="dxa"/>
            </w:tcMar>
            <w:vAlign w:val="center"/>
          </w:tcPr>
          <w:p>
            <w:pPr>
              <w:spacing w:after="0"/>
            </w:pPr>
            <w:r>
              <w:rPr>
                <w:rFonts w:ascii="Calibri" w:hAnsi="Calibri"/>
                <w:b/>
                <w:i w:val="0"/>
                <w:color w:val="6B7680"/>
                <w:sz w:val="18"/>
              </w:rPr>
              <w:t xml:space="preserve">Client: </w:t>
            </w:r>
            <w:r>
              <w:rPr>
                <w:rFonts w:ascii="Calibri" w:hAnsi="Calibri"/>
                <w:b w:val="0"/>
                <w:i w:val="0"/>
                <w:color w:val="1F2933"/>
                <w:sz w:val="18"/>
              </w:rPr>
              <w:t>Julie Smith</w:t>
            </w:r>
          </w:p>
        </w:tc>
      </w:tr>
      <w:tr>
        <w:tc>
          <w:tcPr>
            <w:tcW w:type="dxa" w:w="4968"/>
            <w:tcMar>
              <w:top w:w="80" w:type="dxa"/>
              <w:start w:w="120" w:type="dxa"/>
              <w:bottom w:w="80" w:type="dxa"/>
              <w:end w:w="120" w:type="dxa"/>
            </w:tcMar>
            <w:vAlign w:val="center"/>
          </w:tcPr>
          <w:p>
            <w:pPr>
              <w:spacing w:after="0"/>
            </w:pPr>
            <w:r>
              <w:rPr>
                <w:rFonts w:ascii="Calibri" w:hAnsi="Calibri"/>
                <w:b/>
                <w:i w:val="0"/>
                <w:color w:val="6B7680"/>
                <w:sz w:val="18"/>
              </w:rPr>
              <w:t xml:space="preserve">Broker: </w:t>
            </w:r>
            <w:r>
              <w:rPr>
                <w:rFonts w:ascii="Calibri" w:hAnsi="Calibri"/>
                <w:b w:val="0"/>
                <w:i w:val="0"/>
                <w:color w:val="1F2933"/>
                <w:sz w:val="18"/>
              </w:rPr>
              <w:t>Rachel Nguyen - Finsure Brisbane South</w:t>
            </w:r>
          </w:p>
        </w:tc>
        <w:tc>
          <w:tcPr>
            <w:tcW w:type="dxa" w:w="4968"/>
            <w:tcMar>
              <w:top w:w="80" w:type="dxa"/>
              <w:start w:w="120" w:type="dxa"/>
              <w:bottom w:w="80" w:type="dxa"/>
              <w:end w:w="120" w:type="dxa"/>
            </w:tcMar>
            <w:vAlign w:val="center"/>
          </w:tcPr>
          <w:p>
            <w:pPr>
              <w:spacing w:after="0"/>
            </w:pPr>
            <w:r>
              <w:rPr>
                <w:rFonts w:ascii="Calibri" w:hAnsi="Calibri"/>
                <w:b/>
                <w:i w:val="0"/>
                <w:color w:val="6B7680"/>
                <w:sz w:val="18"/>
              </w:rPr>
              <w:t xml:space="preserve">Updated: </w:t>
            </w:r>
            <w:r>
              <w:rPr>
                <w:rFonts w:ascii="Calibri" w:hAnsi="Calibri"/>
                <w:b w:val="0"/>
                <w:i w:val="0"/>
                <w:color w:val="1F2933"/>
                <w:sz w:val="18"/>
              </w:rPr>
              <w:t>5 June 2026</w:t>
            </w:r>
          </w:p>
        </w:tc>
      </w:tr>
    </w:tbl>
    <w:p>
      <w:pPr>
        <w:spacing w:after="20"/>
      </w:pPr>
    </w:p>
    <w:p>
      <w:pPr>
        <w:pStyle w:val="Heading1"/>
      </w:pPr>
      <w:r>
        <w:t>Client circumstances</w:t>
      </w:r>
    </w:p>
    <w:tbl>
      <w:tblPr>
        <w:tblW w:type="auto" w:w="0"/>
        <w:jc w:val="left"/>
        <w:tblLayout w:type="fixed"/>
        <w:tblLook w:firstColumn="1" w:firstRow="1" w:lastColumn="0" w:lastRow="0" w:noHBand="0" w:noVBand="1" w:val="04A0"/>
      </w:tblPr>
      <w:tblGrid>
        <w:gridCol w:w="4997"/>
        <w:gridCol w:w="4997"/>
      </w:tblGrid>
      <w:tr>
        <w:tc>
          <w:tcPr>
            <w:tcW w:type="dxa" w:w="2520"/>
            <w:shd w:fill="F4F6F8"/>
            <w:tcMar>
              <w:top w:w="80" w:type="dxa"/>
              <w:start w:w="120" w:type="dxa"/>
              <w:bottom w:w="80" w:type="dxa"/>
              <w:end w:w="120" w:type="dxa"/>
            </w:tcMar>
            <w:vAlign w:val="center"/>
          </w:tcPr>
          <w:p>
            <w:pPr>
              <w:spacing w:after="0"/>
            </w:pPr>
            <w:r>
              <w:rPr>
                <w:rFonts w:ascii="Calibri" w:hAnsi="Calibri"/>
                <w:b/>
                <w:i w:val="0"/>
                <w:color w:val="17324D"/>
                <w:sz w:val="19"/>
              </w:rPr>
              <w:t>Applicant</w:t>
            </w:r>
          </w:p>
        </w:tc>
        <w:tc>
          <w:tcPr>
            <w:tcW w:type="dxa" w:w="7344"/>
            <w:tcMar>
              <w:top w:w="80" w:type="dxa"/>
              <w:start w:w="120" w:type="dxa"/>
              <w:bottom w:w="80" w:type="dxa"/>
              <w:end w:w="120" w:type="dxa"/>
            </w:tcMar>
            <w:vAlign w:val="center"/>
          </w:tcPr>
          <w:p>
            <w:pPr>
              <w:spacing w:after="0"/>
            </w:pPr>
            <w:r>
              <w:rPr>
                <w:rFonts w:ascii="Calibri" w:hAnsi="Calibri"/>
                <w:b w:val="0"/>
                <w:i w:val="0"/>
                <w:color w:val="1F2933"/>
                <w:sz w:val="19"/>
              </w:rPr>
              <w:t>Julie Smith</w:t>
            </w:r>
          </w:p>
        </w:tc>
      </w:tr>
      <w:tr>
        <w:tc>
          <w:tcPr>
            <w:tcW w:type="dxa" w:w="2520"/>
            <w:shd w:fill="F4F6F8"/>
            <w:tcMar>
              <w:top w:w="80" w:type="dxa"/>
              <w:start w:w="120" w:type="dxa"/>
              <w:bottom w:w="80" w:type="dxa"/>
              <w:end w:w="120" w:type="dxa"/>
            </w:tcMar>
            <w:vAlign w:val="center"/>
          </w:tcPr>
          <w:p>
            <w:pPr>
              <w:spacing w:after="0"/>
            </w:pPr>
            <w:r>
              <w:rPr>
                <w:rFonts w:ascii="Calibri" w:hAnsi="Calibri"/>
                <w:b/>
                <w:i w:val="0"/>
                <w:color w:val="17324D"/>
                <w:sz w:val="19"/>
              </w:rPr>
              <w:t>Household</w:t>
            </w:r>
          </w:p>
        </w:tc>
        <w:tc>
          <w:tcPr>
            <w:tcW w:type="dxa" w:w="7344"/>
            <w:tcMar>
              <w:top w:w="80" w:type="dxa"/>
              <w:start w:w="120" w:type="dxa"/>
              <w:bottom w:w="80" w:type="dxa"/>
              <w:end w:w="120" w:type="dxa"/>
            </w:tcMar>
            <w:vAlign w:val="center"/>
          </w:tcPr>
          <w:p>
            <w:pPr>
              <w:spacing w:after="0"/>
            </w:pPr>
            <w:r>
              <w:rPr>
                <w:rFonts w:ascii="Calibri" w:hAnsi="Calibri"/>
                <w:b w:val="0"/>
                <w:i w:val="0"/>
                <w:color w:val="1F2933"/>
                <w:sz w:val="19"/>
              </w:rPr>
              <w:t>Single applicant, no dependants</w:t>
            </w:r>
          </w:p>
        </w:tc>
      </w:tr>
      <w:tr>
        <w:tc>
          <w:tcPr>
            <w:tcW w:type="dxa" w:w="2520"/>
            <w:shd w:fill="F4F6F8"/>
            <w:tcMar>
              <w:top w:w="80" w:type="dxa"/>
              <w:start w:w="120" w:type="dxa"/>
              <w:bottom w:w="80" w:type="dxa"/>
              <w:end w:w="120" w:type="dxa"/>
            </w:tcMar>
            <w:vAlign w:val="center"/>
          </w:tcPr>
          <w:p>
            <w:pPr>
              <w:spacing w:after="0"/>
            </w:pPr>
            <w:r>
              <w:rPr>
                <w:rFonts w:ascii="Calibri" w:hAnsi="Calibri"/>
                <w:b/>
                <w:i w:val="0"/>
                <w:color w:val="17324D"/>
                <w:sz w:val="19"/>
              </w:rPr>
              <w:t>Employment</w:t>
            </w:r>
          </w:p>
        </w:tc>
        <w:tc>
          <w:tcPr>
            <w:tcW w:type="dxa" w:w="7344"/>
            <w:tcMar>
              <w:top w:w="80" w:type="dxa"/>
              <w:start w:w="120" w:type="dxa"/>
              <w:bottom w:w="80" w:type="dxa"/>
              <w:end w:w="120" w:type="dxa"/>
            </w:tcMar>
            <w:vAlign w:val="center"/>
          </w:tcPr>
          <w:p>
            <w:pPr>
              <w:spacing w:after="0"/>
            </w:pPr>
            <w:r>
              <w:rPr>
                <w:rFonts w:ascii="Calibri" w:hAnsi="Calibri"/>
                <w:b w:val="0"/>
                <w:i w:val="0"/>
                <w:color w:val="1F2933"/>
                <w:sz w:val="19"/>
              </w:rPr>
              <w:t>Permanent full-time Senior Operations Manager</w:t>
            </w:r>
          </w:p>
        </w:tc>
      </w:tr>
      <w:tr>
        <w:tc>
          <w:tcPr>
            <w:tcW w:type="dxa" w:w="2520"/>
            <w:shd w:fill="F4F6F8"/>
            <w:tcMar>
              <w:top w:w="80" w:type="dxa"/>
              <w:start w:w="120" w:type="dxa"/>
              <w:bottom w:w="80" w:type="dxa"/>
              <w:end w:w="120" w:type="dxa"/>
            </w:tcMar>
            <w:vAlign w:val="center"/>
          </w:tcPr>
          <w:p>
            <w:pPr>
              <w:spacing w:after="0"/>
            </w:pPr>
            <w:r>
              <w:rPr>
                <w:rFonts w:ascii="Calibri" w:hAnsi="Calibri"/>
                <w:b/>
                <w:i w:val="0"/>
                <w:color w:val="17324D"/>
                <w:sz w:val="19"/>
              </w:rPr>
              <w:t>Gross income</w:t>
            </w:r>
          </w:p>
        </w:tc>
        <w:tc>
          <w:tcPr>
            <w:tcW w:type="dxa" w:w="7344"/>
            <w:tcMar>
              <w:top w:w="80" w:type="dxa"/>
              <w:start w:w="120" w:type="dxa"/>
              <w:bottom w:w="80" w:type="dxa"/>
              <w:end w:w="120" w:type="dxa"/>
            </w:tcMar>
            <w:vAlign w:val="center"/>
          </w:tcPr>
          <w:p>
            <w:pPr>
              <w:spacing w:after="0"/>
            </w:pPr>
            <w:r>
              <w:rPr>
                <w:rFonts w:ascii="Calibri" w:hAnsi="Calibri"/>
                <w:b w:val="0"/>
                <w:i w:val="0"/>
                <w:color w:val="1F2933"/>
                <w:sz w:val="19"/>
              </w:rPr>
              <w:t>$138,000 per annum</w:t>
            </w:r>
          </w:p>
        </w:tc>
      </w:tr>
      <w:tr>
        <w:tc>
          <w:tcPr>
            <w:tcW w:type="dxa" w:w="2520"/>
            <w:shd w:fill="F4F6F8"/>
            <w:tcMar>
              <w:top w:w="80" w:type="dxa"/>
              <w:start w:w="120" w:type="dxa"/>
              <w:bottom w:w="80" w:type="dxa"/>
              <w:end w:w="120" w:type="dxa"/>
            </w:tcMar>
            <w:vAlign w:val="center"/>
          </w:tcPr>
          <w:p>
            <w:pPr>
              <w:spacing w:after="0"/>
            </w:pPr>
            <w:r>
              <w:rPr>
                <w:rFonts w:ascii="Calibri" w:hAnsi="Calibri"/>
                <w:b/>
                <w:i w:val="0"/>
                <w:color w:val="17324D"/>
                <w:sz w:val="19"/>
              </w:rPr>
              <w:t>Current housing</w:t>
            </w:r>
          </w:p>
        </w:tc>
        <w:tc>
          <w:tcPr>
            <w:tcW w:type="dxa" w:w="7344"/>
            <w:tcMar>
              <w:top w:w="80" w:type="dxa"/>
              <w:start w:w="120" w:type="dxa"/>
              <w:bottom w:w="80" w:type="dxa"/>
              <w:end w:w="120" w:type="dxa"/>
            </w:tcMar>
            <w:vAlign w:val="center"/>
          </w:tcPr>
          <w:p>
            <w:pPr>
              <w:spacing w:after="0"/>
            </w:pPr>
            <w:r>
              <w:rPr>
                <w:rFonts w:ascii="Calibri" w:hAnsi="Calibri"/>
                <w:b w:val="0"/>
                <w:i w:val="0"/>
                <w:color w:val="1F2933"/>
                <w:sz w:val="19"/>
              </w:rPr>
              <w:t>Renting in Southport; lease expires 31 July 2026</w:t>
            </w:r>
          </w:p>
        </w:tc>
      </w:tr>
      <w:tr>
        <w:tc>
          <w:tcPr>
            <w:tcW w:type="dxa" w:w="2520"/>
            <w:shd w:fill="F4F6F8"/>
            <w:tcMar>
              <w:top w:w="80" w:type="dxa"/>
              <w:start w:w="120" w:type="dxa"/>
              <w:bottom w:w="80" w:type="dxa"/>
              <w:end w:w="120" w:type="dxa"/>
            </w:tcMar>
            <w:vAlign w:val="center"/>
          </w:tcPr>
          <w:p>
            <w:pPr>
              <w:spacing w:after="0"/>
            </w:pPr>
            <w:r>
              <w:rPr>
                <w:rFonts w:ascii="Calibri" w:hAnsi="Calibri"/>
                <w:b/>
                <w:i w:val="0"/>
                <w:color w:val="17324D"/>
                <w:sz w:val="19"/>
              </w:rPr>
              <w:t>Purchase</w:t>
            </w:r>
          </w:p>
        </w:tc>
        <w:tc>
          <w:tcPr>
            <w:tcW w:type="dxa" w:w="7344"/>
            <w:tcMar>
              <w:top w:w="80" w:type="dxa"/>
              <w:start w:w="120" w:type="dxa"/>
              <w:bottom w:w="80" w:type="dxa"/>
              <w:end w:w="120" w:type="dxa"/>
            </w:tcMar>
            <w:vAlign w:val="center"/>
          </w:tcPr>
          <w:p>
            <w:pPr>
              <w:spacing w:after="0"/>
            </w:pPr>
            <w:r>
              <w:rPr>
                <w:rFonts w:ascii="Calibri" w:hAnsi="Calibri"/>
                <w:b w:val="0"/>
                <w:i w:val="0"/>
                <w:color w:val="1F2933"/>
                <w:sz w:val="19"/>
              </w:rPr>
              <w:t>$780,000 owner-occupied property in Southport</w:t>
            </w:r>
          </w:p>
        </w:tc>
      </w:tr>
      <w:tr>
        <w:tc>
          <w:tcPr>
            <w:tcW w:type="dxa" w:w="2520"/>
            <w:shd w:fill="F4F6F8"/>
            <w:tcMar>
              <w:top w:w="80" w:type="dxa"/>
              <w:start w:w="120" w:type="dxa"/>
              <w:bottom w:w="80" w:type="dxa"/>
              <w:end w:w="120" w:type="dxa"/>
            </w:tcMar>
            <w:vAlign w:val="center"/>
          </w:tcPr>
          <w:p>
            <w:pPr>
              <w:spacing w:after="0"/>
            </w:pPr>
            <w:r>
              <w:rPr>
                <w:rFonts w:ascii="Calibri" w:hAnsi="Calibri"/>
                <w:b/>
                <w:i w:val="0"/>
                <w:color w:val="17324D"/>
                <w:sz w:val="19"/>
              </w:rPr>
              <w:t>Requested lending</w:t>
            </w:r>
          </w:p>
        </w:tc>
        <w:tc>
          <w:tcPr>
            <w:tcW w:type="dxa" w:w="7344"/>
            <w:tcMar>
              <w:top w:w="80" w:type="dxa"/>
              <w:start w:w="120" w:type="dxa"/>
              <w:bottom w:w="80" w:type="dxa"/>
              <w:end w:w="120" w:type="dxa"/>
            </w:tcMar>
            <w:vAlign w:val="center"/>
          </w:tcPr>
          <w:p>
            <w:pPr>
              <w:spacing w:after="0"/>
            </w:pPr>
            <w:r>
              <w:rPr>
                <w:rFonts w:ascii="Calibri" w:hAnsi="Calibri"/>
                <w:b w:val="0"/>
                <w:i w:val="0"/>
                <w:color w:val="1F2933"/>
                <w:sz w:val="19"/>
              </w:rPr>
              <w:t>$625,000 over 30 years, principal and interest</w:t>
            </w:r>
          </w:p>
        </w:tc>
      </w:tr>
    </w:tbl>
    <w:p>
      <w:pPr>
        <w:spacing w:after="20"/>
      </w:pPr>
    </w:p>
    <w:p>
      <w:pPr>
        <w:pStyle w:val="Heading1"/>
      </w:pPr>
      <w:r>
        <w:t>Recorded needs and objectives</w:t>
      </w:r>
    </w:p>
    <w:p>
      <w:pPr>
        <w:pStyle w:val="ListBullet"/>
        <w:spacing w:after="100" w:line="264" w:lineRule="auto"/>
        <w:ind w:left="720" w:hanging="360"/>
      </w:pPr>
      <w:r>
        <w:rPr>
          <w:rFonts w:ascii="Calibri" w:hAnsi="Calibri"/>
          <w:b w:val="0"/>
          <w:i w:val="0"/>
          <w:color w:val="1F2933"/>
          <w:sz w:val="21"/>
        </w:rPr>
        <w:t>Purchase the property as Julie's principal place of residence.</w:t>
      </w:r>
    </w:p>
    <w:p>
      <w:pPr>
        <w:pStyle w:val="ListBullet"/>
        <w:spacing w:after="100" w:line="264" w:lineRule="auto"/>
        <w:ind w:left="720" w:hanging="360"/>
      </w:pPr>
      <w:r>
        <w:rPr>
          <w:rFonts w:ascii="Calibri" w:hAnsi="Calibri"/>
          <w:b w:val="0"/>
          <w:i w:val="0"/>
          <w:color w:val="1F2933"/>
          <w:sz w:val="21"/>
        </w:rPr>
        <w:t>Keep repayments manageable if variable rates increase.</w:t>
      </w:r>
    </w:p>
    <w:p>
      <w:pPr>
        <w:pStyle w:val="ListBullet"/>
        <w:spacing w:after="100" w:line="264" w:lineRule="auto"/>
        <w:ind w:left="720" w:hanging="360"/>
      </w:pPr>
      <w:r>
        <w:rPr>
          <w:rFonts w:ascii="Calibri" w:hAnsi="Calibri"/>
          <w:b w:val="0"/>
          <w:i w:val="0"/>
          <w:color w:val="1F2933"/>
          <w:sz w:val="21"/>
        </w:rPr>
        <w:t>Use an offset account for salary and emergency savings.</w:t>
      </w:r>
    </w:p>
    <w:p>
      <w:pPr>
        <w:pStyle w:val="ListBullet"/>
        <w:spacing w:after="100" w:line="264" w:lineRule="auto"/>
        <w:ind w:left="720" w:hanging="360"/>
      </w:pPr>
      <w:r>
        <w:rPr>
          <w:rFonts w:ascii="Calibri" w:hAnsi="Calibri"/>
          <w:b w:val="0"/>
          <w:i w:val="0"/>
          <w:color w:val="1F2933"/>
          <w:sz w:val="21"/>
        </w:rPr>
        <w:t>Make additional repayments without penalty.</w:t>
      </w:r>
    </w:p>
    <w:p>
      <w:pPr>
        <w:pStyle w:val="ListBullet"/>
        <w:spacing w:after="100" w:line="264" w:lineRule="auto"/>
        <w:ind w:left="720" w:hanging="360"/>
      </w:pPr>
      <w:r>
        <w:rPr>
          <w:rFonts w:ascii="Calibri" w:hAnsi="Calibri"/>
          <w:b w:val="0"/>
          <w:i w:val="0"/>
          <w:color w:val="1F2933"/>
          <w:sz w:val="21"/>
        </w:rPr>
        <w:t>Avoid lender's mortgage insurance where reasonably achievable.</w:t>
      </w:r>
    </w:p>
    <w:p>
      <w:pPr>
        <w:pStyle w:val="ListBullet"/>
        <w:spacing w:after="100" w:line="264" w:lineRule="auto"/>
        <w:ind w:left="720" w:hanging="360"/>
      </w:pPr>
      <w:r>
        <w:rPr>
          <w:rFonts w:ascii="Calibri" w:hAnsi="Calibri"/>
          <w:b w:val="0"/>
          <w:i w:val="0"/>
          <w:color w:val="1F2933"/>
          <w:sz w:val="21"/>
        </w:rPr>
        <w:t>Settle by 3 July 2026, subject to finance and conveyancing requirements.</w:t>
      </w:r>
    </w:p>
    <w:p>
      <w:pPr>
        <w:pStyle w:val="Heading1"/>
      </w:pPr>
      <w:r>
        <w:t>Preferences and trade-offs discussed</w:t>
      </w:r>
    </w:p>
    <w:tbl>
      <w:tblPr>
        <w:tblW w:type="auto" w:w="0"/>
        <w:jc w:val="left"/>
        <w:tblLayout w:type="fixed"/>
        <w:tblLook w:firstColumn="1" w:firstRow="1" w:lastColumn="0" w:lastRow="0" w:noHBand="0" w:noVBand="1" w:val="04A0"/>
      </w:tblPr>
      <w:tblGrid>
        <w:gridCol w:w="4997"/>
        <w:gridCol w:w="4997"/>
      </w:tblGrid>
      <w:tr>
        <w:tc>
          <w:tcPr>
            <w:tcW w:type="dxa" w:w="2520"/>
            <w:shd w:fill="F4F6F8"/>
            <w:tcMar>
              <w:top w:w="80" w:type="dxa"/>
              <w:start w:w="120" w:type="dxa"/>
              <w:bottom w:w="80" w:type="dxa"/>
              <w:end w:w="120" w:type="dxa"/>
            </w:tcMar>
            <w:vAlign w:val="center"/>
          </w:tcPr>
          <w:p>
            <w:pPr>
              <w:spacing w:after="0"/>
            </w:pPr>
            <w:r>
              <w:rPr>
                <w:rFonts w:ascii="Calibri" w:hAnsi="Calibri"/>
                <w:b/>
                <w:i w:val="0"/>
                <w:color w:val="17324D"/>
                <w:sz w:val="19"/>
              </w:rPr>
              <w:t>Rate structure</w:t>
            </w:r>
          </w:p>
        </w:tc>
        <w:tc>
          <w:tcPr>
            <w:tcW w:type="dxa" w:w="7344"/>
            <w:tcMar>
              <w:top w:w="80" w:type="dxa"/>
              <w:start w:w="120" w:type="dxa"/>
              <w:bottom w:w="80" w:type="dxa"/>
              <w:end w:w="120" w:type="dxa"/>
            </w:tcMar>
            <w:vAlign w:val="center"/>
          </w:tcPr>
          <w:p>
            <w:pPr>
              <w:spacing w:after="0"/>
            </w:pPr>
            <w:r>
              <w:rPr>
                <w:rFonts w:ascii="Calibri" w:hAnsi="Calibri"/>
                <w:b w:val="0"/>
                <w:i w:val="0"/>
                <w:color w:val="1F2933"/>
                <w:sz w:val="19"/>
              </w:rPr>
              <w:t>Variable preferred; Julie accepts repayment variability and values flexibility.</w:t>
            </w:r>
          </w:p>
        </w:tc>
      </w:tr>
      <w:tr>
        <w:tc>
          <w:tcPr>
            <w:tcW w:type="dxa" w:w="2520"/>
            <w:shd w:fill="F4F6F8"/>
            <w:tcMar>
              <w:top w:w="80" w:type="dxa"/>
              <w:start w:w="120" w:type="dxa"/>
              <w:bottom w:w="80" w:type="dxa"/>
              <w:end w:w="120" w:type="dxa"/>
            </w:tcMar>
            <w:vAlign w:val="center"/>
          </w:tcPr>
          <w:p>
            <w:pPr>
              <w:spacing w:after="0"/>
            </w:pPr>
            <w:r>
              <w:rPr>
                <w:rFonts w:ascii="Calibri" w:hAnsi="Calibri"/>
                <w:b/>
                <w:i w:val="0"/>
                <w:color w:val="17324D"/>
                <w:sz w:val="19"/>
              </w:rPr>
              <w:t>Offset</w:t>
            </w:r>
          </w:p>
        </w:tc>
        <w:tc>
          <w:tcPr>
            <w:tcW w:type="dxa" w:w="7344"/>
            <w:tcMar>
              <w:top w:w="80" w:type="dxa"/>
              <w:start w:w="120" w:type="dxa"/>
              <w:bottom w:w="80" w:type="dxa"/>
              <w:end w:w="120" w:type="dxa"/>
            </w:tcMar>
            <w:vAlign w:val="center"/>
          </w:tcPr>
          <w:p>
            <w:pPr>
              <w:spacing w:after="0"/>
            </w:pPr>
            <w:r>
              <w:rPr>
                <w:rFonts w:ascii="Calibri" w:hAnsi="Calibri"/>
                <w:b w:val="0"/>
                <w:i w:val="0"/>
                <w:color w:val="1F2933"/>
                <w:sz w:val="19"/>
              </w:rPr>
              <w:t>Full offset requested for salary and emergency savings.</w:t>
            </w:r>
          </w:p>
        </w:tc>
      </w:tr>
      <w:tr>
        <w:tc>
          <w:tcPr>
            <w:tcW w:type="dxa" w:w="2520"/>
            <w:shd w:fill="F4F6F8"/>
            <w:tcMar>
              <w:top w:w="80" w:type="dxa"/>
              <w:start w:w="120" w:type="dxa"/>
              <w:bottom w:w="80" w:type="dxa"/>
              <w:end w:w="120" w:type="dxa"/>
            </w:tcMar>
            <w:vAlign w:val="center"/>
          </w:tcPr>
          <w:p>
            <w:pPr>
              <w:spacing w:after="0"/>
            </w:pPr>
            <w:r>
              <w:rPr>
                <w:rFonts w:ascii="Calibri" w:hAnsi="Calibri"/>
                <w:b/>
                <w:i w:val="0"/>
                <w:color w:val="17324D"/>
                <w:sz w:val="19"/>
              </w:rPr>
              <w:t>Extra repayments</w:t>
            </w:r>
          </w:p>
        </w:tc>
        <w:tc>
          <w:tcPr>
            <w:tcW w:type="dxa" w:w="7344"/>
            <w:tcMar>
              <w:top w:w="80" w:type="dxa"/>
              <w:start w:w="120" w:type="dxa"/>
              <w:bottom w:w="80" w:type="dxa"/>
              <w:end w:w="120" w:type="dxa"/>
            </w:tcMar>
            <w:vAlign w:val="center"/>
          </w:tcPr>
          <w:p>
            <w:pPr>
              <w:spacing w:after="0"/>
            </w:pPr>
            <w:r>
              <w:rPr>
                <w:rFonts w:ascii="Calibri" w:hAnsi="Calibri"/>
                <w:b w:val="0"/>
                <w:i w:val="0"/>
                <w:color w:val="1F2933"/>
                <w:sz w:val="19"/>
              </w:rPr>
              <w:t>Required without penalty.</w:t>
            </w:r>
          </w:p>
        </w:tc>
      </w:tr>
      <w:tr>
        <w:tc>
          <w:tcPr>
            <w:tcW w:type="dxa" w:w="2520"/>
            <w:shd w:fill="F4F6F8"/>
            <w:tcMar>
              <w:top w:w="80" w:type="dxa"/>
              <w:start w:w="120" w:type="dxa"/>
              <w:bottom w:w="80" w:type="dxa"/>
              <w:end w:w="120" w:type="dxa"/>
            </w:tcMar>
            <w:vAlign w:val="center"/>
          </w:tcPr>
          <w:p>
            <w:pPr>
              <w:spacing w:after="0"/>
            </w:pPr>
            <w:r>
              <w:rPr>
                <w:rFonts w:ascii="Calibri" w:hAnsi="Calibri"/>
                <w:b/>
                <w:i w:val="0"/>
                <w:color w:val="17324D"/>
                <w:sz w:val="19"/>
              </w:rPr>
              <w:t>Fixed rate</w:t>
            </w:r>
          </w:p>
        </w:tc>
        <w:tc>
          <w:tcPr>
            <w:tcW w:type="dxa" w:w="7344"/>
            <w:tcMar>
              <w:top w:w="80" w:type="dxa"/>
              <w:start w:w="120" w:type="dxa"/>
              <w:bottom w:w="80" w:type="dxa"/>
              <w:end w:w="120" w:type="dxa"/>
            </w:tcMar>
            <w:vAlign w:val="center"/>
          </w:tcPr>
          <w:p>
            <w:pPr>
              <w:spacing w:after="0"/>
            </w:pPr>
            <w:r>
              <w:rPr>
                <w:rFonts w:ascii="Calibri" w:hAnsi="Calibri"/>
                <w:b w:val="0"/>
                <w:i w:val="0"/>
                <w:color w:val="1F2933"/>
                <w:sz w:val="19"/>
              </w:rPr>
              <w:t>Considered but not preferred because it limits flexibility and may involve break costs.</w:t>
            </w:r>
          </w:p>
        </w:tc>
      </w:tr>
      <w:tr>
        <w:tc>
          <w:tcPr>
            <w:tcW w:type="dxa" w:w="2520"/>
            <w:shd w:fill="F4F6F8"/>
            <w:tcMar>
              <w:top w:w="80" w:type="dxa"/>
              <w:start w:w="120" w:type="dxa"/>
              <w:bottom w:w="80" w:type="dxa"/>
              <w:end w:w="120" w:type="dxa"/>
            </w:tcMar>
            <w:vAlign w:val="center"/>
          </w:tcPr>
          <w:p>
            <w:pPr>
              <w:spacing w:after="0"/>
            </w:pPr>
            <w:r>
              <w:rPr>
                <w:rFonts w:ascii="Calibri" w:hAnsi="Calibri"/>
                <w:b/>
                <w:i w:val="0"/>
                <w:color w:val="17324D"/>
                <w:sz w:val="19"/>
              </w:rPr>
              <w:t>Lowest headline rate</w:t>
            </w:r>
          </w:p>
        </w:tc>
        <w:tc>
          <w:tcPr>
            <w:tcW w:type="dxa" w:w="7344"/>
            <w:tcMar>
              <w:top w:w="80" w:type="dxa"/>
              <w:start w:w="120" w:type="dxa"/>
              <w:bottom w:w="80" w:type="dxa"/>
              <w:end w:w="120" w:type="dxa"/>
            </w:tcMar>
            <w:vAlign w:val="center"/>
          </w:tcPr>
          <w:p>
            <w:pPr>
              <w:spacing w:after="0"/>
            </w:pPr>
            <w:r>
              <w:rPr>
                <w:rFonts w:ascii="Calibri" w:hAnsi="Calibri"/>
                <w:b w:val="0"/>
                <w:i w:val="0"/>
                <w:color w:val="1F2933"/>
                <w:sz w:val="19"/>
              </w:rPr>
              <w:t>Not the sole priority; offset functionality, servicing fit and settlement confidence are important.</w:t>
            </w:r>
          </w:p>
        </w:tc>
      </w:tr>
      <w:tr>
        <w:tc>
          <w:tcPr>
            <w:tcW w:type="dxa" w:w="2520"/>
            <w:shd w:fill="F4F6F8"/>
            <w:tcMar>
              <w:top w:w="80" w:type="dxa"/>
              <w:start w:w="120" w:type="dxa"/>
              <w:bottom w:w="80" w:type="dxa"/>
              <w:end w:w="120" w:type="dxa"/>
            </w:tcMar>
            <w:vAlign w:val="center"/>
          </w:tcPr>
          <w:p>
            <w:pPr>
              <w:spacing w:after="0"/>
            </w:pPr>
            <w:r>
              <w:rPr>
                <w:rFonts w:ascii="Calibri" w:hAnsi="Calibri"/>
                <w:b/>
                <w:i w:val="0"/>
                <w:color w:val="17324D"/>
                <w:sz w:val="19"/>
              </w:rPr>
              <w:t>Risk tolerance</w:t>
            </w:r>
          </w:p>
        </w:tc>
        <w:tc>
          <w:tcPr>
            <w:tcW w:type="dxa" w:w="7344"/>
            <w:tcMar>
              <w:top w:w="80" w:type="dxa"/>
              <w:start w:w="120" w:type="dxa"/>
              <w:bottom w:w="80" w:type="dxa"/>
              <w:end w:w="120" w:type="dxa"/>
            </w:tcMar>
            <w:vAlign w:val="center"/>
          </w:tcPr>
          <w:p>
            <w:pPr>
              <w:spacing w:after="0"/>
            </w:pPr>
            <w:r>
              <w:rPr>
                <w:rFonts w:ascii="Calibri" w:hAnsi="Calibri"/>
                <w:b w:val="0"/>
                <w:i w:val="0"/>
                <w:color w:val="1F2933"/>
                <w:sz w:val="19"/>
              </w:rPr>
              <w:t>Moderate. Julie wants a buffer and does not want to use all available cash at settlement.</w:t>
            </w:r>
          </w:p>
        </w:tc>
      </w:tr>
    </w:tbl>
    <w:p>
      <w:pPr>
        <w:spacing w:after="20"/>
      </w:pPr>
    </w:p>
    <w:p>
      <w:pPr>
        <w:pStyle w:val="Heading1"/>
      </w:pPr>
      <w:r>
        <w:t>Broker confirmation</w:t>
      </w:r>
    </w:p>
    <w:tbl>
      <w:tblPr>
        <w:tblW w:type="auto" w:w="0"/>
        <w:jc w:val="left"/>
        <w:tblLook w:firstColumn="1" w:firstRow="1" w:lastColumn="0" w:lastRow="0" w:noHBand="0" w:noVBand="1" w:val="04A0"/>
      </w:tblPr>
      <w:tblGrid>
        <w:gridCol w:w="9994"/>
      </w:tblGrid>
      <w:tr>
        <w:tc>
          <w:tcPr>
            <w:tcW w:type="dxa" w:w="9994"/>
            <w:shd w:fill="EAF2F6"/>
            <w:tcMar>
              <w:top w:w="140" w:type="dxa"/>
              <w:start w:w="160" w:type="dxa"/>
              <w:bottom w:w="140" w:type="dxa"/>
              <w:end w:w="160" w:type="dxa"/>
            </w:tcMar>
          </w:tcPr>
          <w:p>
            <w:pPr>
              <w:spacing w:after="60"/>
            </w:pPr>
            <w:r>
              <w:rPr>
                <w:rFonts w:ascii="Calibri" w:hAnsi="Calibri"/>
                <w:b/>
                <w:i w:val="0"/>
                <w:color w:val="17324D"/>
                <w:sz w:val="20"/>
              </w:rPr>
              <w:t>Assessment note</w:t>
            </w:r>
          </w:p>
          <w:p>
            <w:pPr>
              <w:spacing w:after="0"/>
            </w:pPr>
            <w:r>
              <w:rPr>
                <w:rFonts w:ascii="Calibri" w:hAnsi="Calibri"/>
                <w:b w:val="0"/>
                <w:i w:val="0"/>
                <w:color w:val="1F2933"/>
                <w:sz w:val="19"/>
              </w:rPr>
              <w:t>This record captures the information provided by Julie during meetings on 20 and 22 May 2026. The recommendation must be reassessed if the purchase price, employment, income, liabilities, settlement date or available funds materially change.</w:t>
            </w:r>
          </w:p>
        </w:tc>
      </w:tr>
    </w:tbl>
    <w:p>
      <w:pPr>
        <w:spacing w:after="20"/>
      </w:pPr>
    </w:p>
    <w:tbl>
      <w:tblPr>
        <w:tblW w:type="auto" w:w="0"/>
        <w:jc w:val="left"/>
        <w:tblLayout w:type="fixed"/>
        <w:tblLook w:firstColumn="1" w:firstRow="1" w:lastColumn="0" w:lastRow="0" w:noHBand="0" w:noVBand="1" w:val="04A0"/>
      </w:tblPr>
      <w:tblGrid>
        <w:gridCol w:w="4997"/>
        <w:gridCol w:w="4997"/>
      </w:tblGrid>
      <w:tr>
        <w:tc>
          <w:tcPr>
            <w:tcW w:type="dxa" w:w="2520"/>
            <w:shd w:fill="F4F6F8"/>
            <w:tcMar>
              <w:top w:w="80" w:type="dxa"/>
              <w:start w:w="120" w:type="dxa"/>
              <w:bottom w:w="80" w:type="dxa"/>
              <w:end w:w="120" w:type="dxa"/>
            </w:tcMar>
            <w:vAlign w:val="center"/>
          </w:tcPr>
          <w:p>
            <w:pPr>
              <w:spacing w:after="0"/>
            </w:pPr>
            <w:r>
              <w:rPr>
                <w:rFonts w:ascii="Calibri" w:hAnsi="Calibri"/>
                <w:b/>
                <w:i w:val="0"/>
                <w:color w:val="17324D"/>
                <w:sz w:val="19"/>
              </w:rPr>
              <w:t>Prepared by</w:t>
            </w:r>
          </w:p>
        </w:tc>
        <w:tc>
          <w:tcPr>
            <w:tcW w:type="dxa" w:w="7344"/>
            <w:tcMar>
              <w:top w:w="80" w:type="dxa"/>
              <w:start w:w="120" w:type="dxa"/>
              <w:bottom w:w="80" w:type="dxa"/>
              <w:end w:w="120" w:type="dxa"/>
            </w:tcMar>
            <w:vAlign w:val="center"/>
          </w:tcPr>
          <w:p>
            <w:pPr>
              <w:spacing w:after="0"/>
            </w:pPr>
            <w:r>
              <w:rPr>
                <w:rFonts w:ascii="Calibri" w:hAnsi="Calibri"/>
                <w:b w:val="0"/>
                <w:i w:val="0"/>
                <w:color w:val="1F2933"/>
                <w:sz w:val="19"/>
              </w:rPr>
              <w:t>Rachel Nguyen</w:t>
            </w:r>
          </w:p>
        </w:tc>
      </w:tr>
      <w:tr>
        <w:tc>
          <w:tcPr>
            <w:tcW w:type="dxa" w:w="2520"/>
            <w:shd w:fill="F4F6F8"/>
            <w:tcMar>
              <w:top w:w="80" w:type="dxa"/>
              <w:start w:w="120" w:type="dxa"/>
              <w:bottom w:w="80" w:type="dxa"/>
              <w:end w:w="120" w:type="dxa"/>
            </w:tcMar>
            <w:vAlign w:val="center"/>
          </w:tcPr>
          <w:p>
            <w:pPr>
              <w:spacing w:after="0"/>
            </w:pPr>
            <w:r>
              <w:rPr>
                <w:rFonts w:ascii="Calibri" w:hAnsi="Calibri"/>
                <w:b/>
                <w:i w:val="0"/>
                <w:color w:val="17324D"/>
                <w:sz w:val="19"/>
              </w:rPr>
              <w:t>Prepared date</w:t>
            </w:r>
          </w:p>
        </w:tc>
        <w:tc>
          <w:tcPr>
            <w:tcW w:type="dxa" w:w="7344"/>
            <w:tcMar>
              <w:top w:w="80" w:type="dxa"/>
              <w:start w:w="120" w:type="dxa"/>
              <w:bottom w:w="80" w:type="dxa"/>
              <w:end w:w="120" w:type="dxa"/>
            </w:tcMar>
            <w:vAlign w:val="center"/>
          </w:tcPr>
          <w:p>
            <w:pPr>
              <w:spacing w:after="0"/>
            </w:pPr>
            <w:r>
              <w:rPr>
                <w:rFonts w:ascii="Calibri" w:hAnsi="Calibri"/>
                <w:b w:val="0"/>
                <w:i w:val="0"/>
                <w:color w:val="1F2933"/>
                <w:sz w:val="19"/>
              </w:rPr>
              <w:t>22 May 2026</w:t>
            </w:r>
          </w:p>
        </w:tc>
      </w:tr>
      <w:tr>
        <w:tc>
          <w:tcPr>
            <w:tcW w:type="dxa" w:w="2520"/>
            <w:shd w:fill="F4F6F8"/>
            <w:tcMar>
              <w:top w:w="80" w:type="dxa"/>
              <w:start w:w="120" w:type="dxa"/>
              <w:bottom w:w="80" w:type="dxa"/>
              <w:end w:w="120" w:type="dxa"/>
            </w:tcMar>
            <w:vAlign w:val="center"/>
          </w:tcPr>
          <w:p>
            <w:pPr>
              <w:spacing w:after="0"/>
            </w:pPr>
            <w:r>
              <w:rPr>
                <w:rFonts w:ascii="Calibri" w:hAnsi="Calibri"/>
                <w:b/>
                <w:i w:val="0"/>
                <w:color w:val="17324D"/>
                <w:sz w:val="19"/>
              </w:rPr>
              <w:t>Client confirmation</w:t>
            </w:r>
          </w:p>
        </w:tc>
        <w:tc>
          <w:tcPr>
            <w:tcW w:type="dxa" w:w="7344"/>
            <w:tcMar>
              <w:top w:w="80" w:type="dxa"/>
              <w:start w:w="120" w:type="dxa"/>
              <w:bottom w:w="80" w:type="dxa"/>
              <w:end w:w="120" w:type="dxa"/>
            </w:tcMar>
            <w:vAlign w:val="center"/>
          </w:tcPr>
          <w:p>
            <w:pPr>
              <w:spacing w:after="0"/>
            </w:pPr>
            <w:r>
              <w:rPr>
                <w:rFonts w:ascii="Calibri" w:hAnsi="Calibri"/>
                <w:b w:val="0"/>
                <w:i w:val="0"/>
                <w:color w:val="1F2933"/>
                <w:sz w:val="19"/>
              </w:rPr>
              <w:t>Confirmed by email on 23 May 2026</w:t>
            </w:r>
          </w:p>
        </w:tc>
      </w:tr>
      <w:tr>
        <w:tc>
          <w:tcPr>
            <w:tcW w:type="dxa" w:w="2520"/>
            <w:shd w:fill="F4F6F8"/>
            <w:tcMar>
              <w:top w:w="80" w:type="dxa"/>
              <w:start w:w="120" w:type="dxa"/>
              <w:bottom w:w="80" w:type="dxa"/>
              <w:end w:w="120" w:type="dxa"/>
            </w:tcMar>
            <w:vAlign w:val="center"/>
          </w:tcPr>
          <w:p>
            <w:pPr>
              <w:spacing w:after="0"/>
            </w:pPr>
            <w:r>
              <w:rPr>
                <w:rFonts w:ascii="Calibri" w:hAnsi="Calibri"/>
                <w:b/>
                <w:i w:val="0"/>
                <w:color w:val="17324D"/>
                <w:sz w:val="19"/>
              </w:rPr>
              <w:t>Record status</w:t>
            </w:r>
          </w:p>
        </w:tc>
        <w:tc>
          <w:tcPr>
            <w:tcW w:type="dxa" w:w="7344"/>
            <w:tcMar>
              <w:top w:w="80" w:type="dxa"/>
              <w:start w:w="120" w:type="dxa"/>
              <w:bottom w:w="80" w:type="dxa"/>
              <w:end w:w="120" w:type="dxa"/>
            </w:tcMar>
            <w:vAlign w:val="center"/>
          </w:tcPr>
          <w:p>
            <w:pPr>
              <w:spacing w:after="0"/>
            </w:pPr>
            <w:r>
              <w:rPr>
                <w:rFonts w:ascii="Calibri" w:hAnsi="Calibri"/>
                <w:b w:val="0"/>
                <w:i w:val="0"/>
                <w:color w:val="1F2933"/>
                <w:sz w:val="19"/>
              </w:rPr>
              <w:t>Complete - subject to updated information</w:t>
            </w:r>
          </w:p>
        </w:tc>
      </w:tr>
    </w:tbl>
    <w:p>
      <w:pPr>
        <w:spacing w:after="20"/>
      </w:pPr>
    </w:p>
    <w:p>
      <w:pPr>
        <w:pStyle w:val="Heading1"/>
      </w:pPr>
      <w:r>
        <w:t>Review triggers before settlement</w:t>
      </w:r>
    </w:p>
    <w:p>
      <w:pPr>
        <w:pStyle w:val="ListBullet"/>
        <w:spacing w:after="100" w:line="264" w:lineRule="auto"/>
        <w:ind w:left="720" w:hanging="360"/>
      </w:pPr>
      <w:r>
        <w:rPr>
          <w:rFonts w:ascii="Calibri" w:hAnsi="Calibri"/>
          <w:b w:val="0"/>
          <w:i w:val="0"/>
          <w:color w:val="1F2933"/>
          <w:sz w:val="21"/>
        </w:rPr>
        <w:t>A change to Julie's employment, salary, leave status or expected continuity of income.</w:t>
      </w:r>
    </w:p>
    <w:p>
      <w:pPr>
        <w:pStyle w:val="ListBullet"/>
        <w:spacing w:after="100" w:line="264" w:lineRule="auto"/>
        <w:ind w:left="720" w:hanging="360"/>
      </w:pPr>
      <w:r>
        <w:rPr>
          <w:rFonts w:ascii="Calibri" w:hAnsi="Calibri"/>
          <w:b w:val="0"/>
          <w:i w:val="0"/>
          <w:color w:val="1F2933"/>
          <w:sz w:val="21"/>
        </w:rPr>
        <w:t>A change to the purchase price, lender valuation, loan amount or settlement date.</w:t>
      </w:r>
    </w:p>
    <w:p>
      <w:pPr>
        <w:pStyle w:val="ListBullet"/>
        <w:spacing w:after="100" w:line="264" w:lineRule="auto"/>
        <w:ind w:left="720" w:hanging="360"/>
      </w:pPr>
      <w:r>
        <w:rPr>
          <w:rFonts w:ascii="Calibri" w:hAnsi="Calibri"/>
          <w:b w:val="0"/>
          <w:i w:val="0"/>
          <w:color w:val="1F2933"/>
          <w:sz w:val="21"/>
        </w:rPr>
        <w:t>New liabilities, repayment commitments or material changes to living expenses.</w:t>
      </w:r>
    </w:p>
    <w:p>
      <w:pPr>
        <w:pStyle w:val="ListBullet"/>
        <w:spacing w:after="100" w:line="264" w:lineRule="auto"/>
        <w:ind w:left="720" w:hanging="360"/>
      </w:pPr>
      <w:r>
        <w:rPr>
          <w:rFonts w:ascii="Calibri" w:hAnsi="Calibri"/>
          <w:b w:val="0"/>
          <w:i w:val="0"/>
          <w:color w:val="1F2933"/>
          <w:sz w:val="21"/>
        </w:rPr>
        <w:t>A change in the source, availability or repayment terms of settlement funds.</w:t>
      </w:r>
    </w:p>
    <w:p>
      <w:pPr>
        <w:pStyle w:val="ListBullet"/>
        <w:spacing w:after="100" w:line="264" w:lineRule="auto"/>
        <w:ind w:left="720" w:hanging="360"/>
      </w:pPr>
      <w:r>
        <w:rPr>
          <w:rFonts w:ascii="Calibri" w:hAnsi="Calibri"/>
          <w:b w:val="0"/>
          <w:i w:val="0"/>
          <w:color w:val="1F2933"/>
          <w:sz w:val="21"/>
        </w:rPr>
        <w:t>A change to lender pricing, policy, product features or approval conditions.</w:t>
      </w:r>
    </w:p>
    <w:p>
      <w:pPr>
        <w:pStyle w:val="Heading1"/>
      </w:pPr>
      <w:r>
        <w:t>Linked evidence</w:t>
      </w:r>
    </w:p>
    <w:tbl>
      <w:tblPr>
        <w:tblW w:type="auto" w:w="0"/>
        <w:jc w:val="left"/>
        <w:tblLayout w:type="fixed"/>
        <w:tblLook w:firstColumn="1" w:firstRow="1" w:lastColumn="0" w:lastRow="0" w:noHBand="0" w:noVBand="1" w:val="04A0"/>
      </w:tblPr>
      <w:tblGrid>
        <w:gridCol w:w="4997"/>
        <w:gridCol w:w="4997"/>
      </w:tblGrid>
      <w:tr>
        <w:tc>
          <w:tcPr>
            <w:tcW w:type="dxa" w:w="2520"/>
            <w:shd w:fill="F4F6F8"/>
            <w:tcMar>
              <w:top w:w="80" w:type="dxa"/>
              <w:start w:w="120" w:type="dxa"/>
              <w:bottom w:w="80" w:type="dxa"/>
              <w:end w:w="120" w:type="dxa"/>
            </w:tcMar>
            <w:vAlign w:val="center"/>
          </w:tcPr>
          <w:p>
            <w:pPr>
              <w:spacing w:after="0"/>
            </w:pPr>
            <w:r>
              <w:rPr>
                <w:rFonts w:ascii="Calibri" w:hAnsi="Calibri"/>
                <w:b/>
                <w:i w:val="0"/>
                <w:color w:val="17324D"/>
                <w:sz w:val="19"/>
              </w:rPr>
              <w:t>Income</w:t>
            </w:r>
          </w:p>
        </w:tc>
        <w:tc>
          <w:tcPr>
            <w:tcW w:type="dxa" w:w="7344"/>
            <w:tcMar>
              <w:top w:w="80" w:type="dxa"/>
              <w:start w:w="120" w:type="dxa"/>
              <w:bottom w:w="80" w:type="dxa"/>
              <w:end w:w="120" w:type="dxa"/>
            </w:tcMar>
            <w:vAlign w:val="center"/>
          </w:tcPr>
          <w:p>
            <w:pPr>
              <w:spacing w:after="0"/>
            </w:pPr>
            <w:r>
              <w:rPr>
                <w:rFonts w:ascii="Calibri" w:hAnsi="Calibri"/>
                <w:b w:val="0"/>
                <w:i w:val="0"/>
                <w:color w:val="1F2933"/>
                <w:sz w:val="19"/>
              </w:rPr>
              <w:t>Employment verification record and supporting payslips</w:t>
            </w:r>
          </w:p>
        </w:tc>
      </w:tr>
      <w:tr>
        <w:tc>
          <w:tcPr>
            <w:tcW w:type="dxa" w:w="2520"/>
            <w:shd w:fill="F4F6F8"/>
            <w:tcMar>
              <w:top w:w="80" w:type="dxa"/>
              <w:start w:w="120" w:type="dxa"/>
              <w:bottom w:w="80" w:type="dxa"/>
              <w:end w:w="120" w:type="dxa"/>
            </w:tcMar>
            <w:vAlign w:val="center"/>
          </w:tcPr>
          <w:p>
            <w:pPr>
              <w:spacing w:after="0"/>
            </w:pPr>
            <w:r>
              <w:rPr>
                <w:rFonts w:ascii="Calibri" w:hAnsi="Calibri"/>
                <w:b/>
                <w:i w:val="0"/>
                <w:color w:val="17324D"/>
                <w:sz w:val="19"/>
              </w:rPr>
              <w:t>Assets and liabilities</w:t>
            </w:r>
          </w:p>
        </w:tc>
        <w:tc>
          <w:tcPr>
            <w:tcW w:type="dxa" w:w="7344"/>
            <w:tcMar>
              <w:top w:w="80" w:type="dxa"/>
              <w:start w:w="120" w:type="dxa"/>
              <w:bottom w:w="80" w:type="dxa"/>
              <w:end w:w="120" w:type="dxa"/>
            </w:tcMar>
            <w:vAlign w:val="center"/>
          </w:tcPr>
          <w:p>
            <w:pPr>
              <w:spacing w:after="0"/>
            </w:pPr>
            <w:r>
              <w:rPr>
                <w:rFonts w:ascii="Calibri" w:hAnsi="Calibri"/>
                <w:b w:val="0"/>
                <w:i w:val="0"/>
                <w:color w:val="1F2933"/>
                <w:sz w:val="19"/>
              </w:rPr>
              <w:t>Infynity application export and bank statement metadata</w:t>
            </w:r>
          </w:p>
        </w:tc>
      </w:tr>
      <w:tr>
        <w:tc>
          <w:tcPr>
            <w:tcW w:type="dxa" w:w="2520"/>
            <w:shd w:fill="F4F6F8"/>
            <w:tcMar>
              <w:top w:w="80" w:type="dxa"/>
              <w:start w:w="120" w:type="dxa"/>
              <w:bottom w:w="80" w:type="dxa"/>
              <w:end w:w="120" w:type="dxa"/>
            </w:tcMar>
            <w:vAlign w:val="center"/>
          </w:tcPr>
          <w:p>
            <w:pPr>
              <w:spacing w:after="0"/>
            </w:pPr>
            <w:r>
              <w:rPr>
                <w:rFonts w:ascii="Calibri" w:hAnsi="Calibri"/>
                <w:b/>
                <w:i w:val="0"/>
                <w:color w:val="17324D"/>
                <w:sz w:val="19"/>
              </w:rPr>
              <w:t>Recommendation</w:t>
            </w:r>
          </w:p>
        </w:tc>
        <w:tc>
          <w:tcPr>
            <w:tcW w:type="dxa" w:w="7344"/>
            <w:tcMar>
              <w:top w:w="80" w:type="dxa"/>
              <w:start w:w="120" w:type="dxa"/>
              <w:bottom w:w="80" w:type="dxa"/>
              <w:end w:w="120" w:type="dxa"/>
            </w:tcMar>
            <w:vAlign w:val="center"/>
          </w:tcPr>
          <w:p>
            <w:pPr>
              <w:spacing w:after="0"/>
            </w:pPr>
            <w:r>
              <w:rPr>
                <w:rFonts w:ascii="Calibri" w:hAnsi="Calibri"/>
                <w:b w:val="0"/>
                <w:i w:val="0"/>
                <w:color w:val="1F2933"/>
                <w:sz w:val="19"/>
              </w:rPr>
              <w:t>Credit proposal and product comparison</w:t>
            </w:r>
          </w:p>
        </w:tc>
      </w:tr>
      <w:tr>
        <w:tc>
          <w:tcPr>
            <w:tcW w:type="dxa" w:w="2520"/>
            <w:shd w:fill="F4F6F8"/>
            <w:tcMar>
              <w:top w:w="80" w:type="dxa"/>
              <w:start w:w="120" w:type="dxa"/>
              <w:bottom w:w="80" w:type="dxa"/>
              <w:end w:w="120" w:type="dxa"/>
            </w:tcMar>
            <w:vAlign w:val="center"/>
          </w:tcPr>
          <w:p>
            <w:pPr>
              <w:spacing w:after="0"/>
            </w:pPr>
            <w:r>
              <w:rPr>
                <w:rFonts w:ascii="Calibri" w:hAnsi="Calibri"/>
                <w:b/>
                <w:i w:val="0"/>
                <w:color w:val="17324D"/>
                <w:sz w:val="19"/>
              </w:rPr>
              <w:t>Client instruction</w:t>
            </w:r>
          </w:p>
        </w:tc>
        <w:tc>
          <w:tcPr>
            <w:tcW w:type="dxa" w:w="7344"/>
            <w:tcMar>
              <w:top w:w="80" w:type="dxa"/>
              <w:start w:w="120" w:type="dxa"/>
              <w:bottom w:w="80" w:type="dxa"/>
              <w:end w:w="120" w:type="dxa"/>
            </w:tcMar>
            <w:vAlign w:val="center"/>
          </w:tcPr>
          <w:p>
            <w:pPr>
              <w:spacing w:after="0"/>
            </w:pPr>
            <w:r>
              <w:rPr>
                <w:rFonts w:ascii="Calibri" w:hAnsi="Calibri"/>
                <w:b w:val="0"/>
                <w:i w:val="0"/>
                <w:color w:val="1F2933"/>
                <w:sz w:val="19"/>
              </w:rPr>
              <w:t>Broker file note dated 27 May 2026</w:t>
            </w:r>
          </w:p>
        </w:tc>
      </w:tr>
    </w:tbl>
    <w:p>
      <w:pPr>
        <w:spacing w:after="20"/>
      </w:pPr>
    </w:p>
    <w:sectPr w:rsidR="00FC693F" w:rsidRPr="0006063C" w:rsidSect="00034616">
      <w:headerReference w:type="default" r:id="rId9"/>
      <w:footerReference w:type="default" r:id="rId10"/>
      <w:pgSz w:w="12240" w:h="15840"/>
      <w:pgMar w:top="792" w:right="1123" w:bottom="792"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i w:val="0"/>
        <w:color w:val="A43B32"/>
        <w:sz w:val="15"/>
      </w:rPr>
      <w:t>FICTIONAL PROTOTYPE DATA - NOT A REAL CUSTOMER OR CREDIT APPLICATION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B7680"/>
        <w:sz w:val="16"/>
      </w:rPr>
      <w:t>MORTGAGE INTELLIGENCE  |  FIN-DEMO-0002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F6B8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F6B8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