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F6B8A"/>
          <w:sz w:val="18"/>
        </w:rPr>
        <w:t>MORTGAGE INTELLIGENCE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46"/>
        </w:rPr>
        <w:t>Broker File Notes</w:t>
      </w:r>
    </w:p>
    <w:p>
      <w:pPr>
        <w:spacing w:after="240"/>
      </w:pPr>
      <w:r>
        <w:rPr>
          <w:rFonts w:ascii="Calibri" w:hAnsi="Calibri"/>
          <w:b w:val="0"/>
          <w:i w:val="0"/>
          <w:color w:val="6B7680"/>
          <w:sz w:val="23"/>
        </w:rPr>
        <w:t>Chronological record of advice, verification and application activity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680"/>
                <w:sz w:val="18"/>
              </w:rPr>
              <w:t xml:space="preserve">Application: </w:t>
            </w: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FIN-DEMO-0002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680"/>
                <w:sz w:val="18"/>
              </w:rPr>
              <w:t xml:space="preserve">Client: </w:t>
            </w: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Julie Smith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680"/>
                <w:sz w:val="18"/>
              </w:rPr>
              <w:t xml:space="preserve">Broker: </w:t>
            </w: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Rachel Nguyen - Finsure Brisbane South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680"/>
                <w:sz w:val="18"/>
              </w:rPr>
              <w:t xml:space="preserve">Updated: </w:t>
            </w: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5 June 2026</w:t>
            </w:r>
          </w:p>
        </w:tc>
      </w:tr>
    </w:tbl>
    <w:p>
      <w:pPr>
        <w:spacing w:after="20"/>
      </w:pPr>
    </w:p>
    <w:p>
      <w:pPr>
        <w:pStyle w:val="Heading2"/>
      </w:pPr>
      <w:r>
        <w:t>Initial discovery call</w:t>
      </w:r>
    </w:p>
    <w:p>
      <w:pPr>
        <w:spacing w:after="80"/>
      </w:pPr>
      <w:r>
        <w:rPr>
          <w:rFonts w:ascii="Calibri" w:hAnsi="Calibri"/>
          <w:b/>
          <w:i w:val="0"/>
          <w:color w:val="6B7680"/>
          <w:sz w:val="18"/>
        </w:rPr>
        <w:t>20 May 2026 - 10:00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Julie intends to buy the Southport property as her home and has no dependants.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Discussed purchase price, deposit, income, liabilities, expected settlement and desired offset.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Explained the broker process, privacy consent and the need to verify all financial information.</w:t>
      </w:r>
    </w:p>
    <w:p>
      <w:pPr>
        <w:pStyle w:val="Heading2"/>
      </w:pPr>
      <w:r>
        <w:t>Needs assessment and product discussion</w:t>
      </w:r>
    </w:p>
    <w:p>
      <w:pPr>
        <w:spacing w:after="80"/>
      </w:pPr>
      <w:r>
        <w:rPr>
          <w:rFonts w:ascii="Calibri" w:hAnsi="Calibri"/>
          <w:b/>
          <w:i w:val="0"/>
          <w:color w:val="6B7680"/>
          <w:sz w:val="18"/>
        </w:rPr>
        <w:t>22 May 2026 - 14:30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Confirmed preference for variable principal-and-interest lending with a full offset.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Discussed rate movement risk, repayment buffer, fixed-rate trade-offs and potential fees.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Julie confirmed no expected employment change and no undisclosed liabilities.</w:t>
      </w:r>
    </w:p>
    <w:p>
      <w:pPr>
        <w:pStyle w:val="Heading2"/>
      </w:pPr>
      <w:r>
        <w:t>Employment verification</w:t>
      </w:r>
    </w:p>
    <w:p>
      <w:pPr>
        <w:spacing w:after="80"/>
      </w:pPr>
      <w:r>
        <w:rPr>
          <w:rFonts w:ascii="Calibri" w:hAnsi="Calibri"/>
          <w:b/>
          <w:i w:val="0"/>
          <w:color w:val="6B7680"/>
          <w:sz w:val="18"/>
        </w:rPr>
        <w:t>25 May 2026 - 11:15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Verified permanent full-time employment with Megan Cole at Harbourlight Health Services.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Role, commencement date and gross annual salary matched the application and payslips.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No probation or known pending change was identified.</w:t>
      </w:r>
    </w:p>
    <w:p>
      <w:pPr>
        <w:pStyle w:val="Heading2"/>
      </w:pPr>
      <w:r>
        <w:t>Recommendation meeting</w:t>
      </w:r>
    </w:p>
    <w:p>
      <w:pPr>
        <w:spacing w:after="80"/>
      </w:pPr>
      <w:r>
        <w:rPr>
          <w:rFonts w:ascii="Calibri" w:hAnsi="Calibri"/>
          <w:b/>
          <w:i w:val="0"/>
          <w:color w:val="6B7680"/>
          <w:sz w:val="18"/>
        </w:rPr>
        <w:t>27 May 2026 - 16:00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Compared Westpac, ANZ and Macquarie options and explained why Westpac was preferred overall.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Julie understood that the recommended product was not the lowest headline rate in every scenario.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Client requested that the Westpac application proceed.</w:t>
      </w:r>
    </w:p>
    <w:p>
      <w:pPr>
        <w:pStyle w:val="Heading2"/>
      </w:pPr>
      <w:r>
        <w:t>Contract received</w:t>
      </w:r>
    </w:p>
    <w:p>
      <w:pPr>
        <w:spacing w:after="80"/>
      </w:pPr>
      <w:r>
        <w:rPr>
          <w:rFonts w:ascii="Calibri" w:hAnsi="Calibri"/>
          <w:b/>
          <w:i w:val="0"/>
          <w:color w:val="6B7680"/>
          <w:sz w:val="18"/>
        </w:rPr>
        <w:t>1 June 2026 - 15:40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Received signed contract of sale. Recorded $780,000 purchase price and 3 July settlement.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Reminded Julie that contract and cooling-off advice must come from her conveyancer.</w:t>
      </w:r>
    </w:p>
    <w:p>
      <w:pPr>
        <w:pStyle w:val="Heading2"/>
      </w:pPr>
      <w:r>
        <w:t>Cooling-off query</w:t>
      </w:r>
    </w:p>
    <w:p>
      <w:pPr>
        <w:spacing w:after="80"/>
      </w:pPr>
      <w:r>
        <w:rPr>
          <w:rFonts w:ascii="Calibri" w:hAnsi="Calibri"/>
          <w:b/>
          <w:i w:val="0"/>
          <w:color w:val="6B7680"/>
          <w:sz w:val="18"/>
        </w:rPr>
        <w:t>3 June 2026 - 09:00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Julie asked for the cooling-off deadline and termination consequences.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Declined to provide legal advice; referred Julie to Priya Desai at Coastline Conveyancing.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Separated contract rights from Westpac's finance conditions.</w:t>
      </w:r>
    </w:p>
    <w:p>
      <w:pPr>
        <w:pStyle w:val="Heading2"/>
      </w:pPr>
      <w:r>
        <w:t>Conditional approval documents received</w:t>
      </w:r>
    </w:p>
    <w:p>
      <w:pPr>
        <w:spacing w:after="80"/>
      </w:pPr>
      <w:r>
        <w:rPr>
          <w:rFonts w:ascii="Calibri" w:hAnsi="Calibri"/>
          <w:b/>
          <w:i w:val="0"/>
          <w:color w:val="6B7680"/>
          <w:sz w:val="18"/>
        </w:rPr>
        <w:t>4 June 2026 - 16:45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Received insurance certificate and NAB offset statement showing approximately $82,000.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Uploaded both items to Westpac through the secure broker portal.</w:t>
      </w:r>
    </w:p>
    <w:p>
      <w:pPr>
        <w:pStyle w:val="Heading2"/>
      </w:pPr>
      <w:r>
        <w:t>Source-of-funds follow-up</w:t>
      </w:r>
    </w:p>
    <w:p>
      <w:pPr>
        <w:spacing w:after="80"/>
      </w:pPr>
      <w:r>
        <w:rPr>
          <w:rFonts w:ascii="Calibri" w:hAnsi="Calibri"/>
          <w:b/>
          <w:i w:val="0"/>
          <w:color w:val="6B7680"/>
          <w:sz w:val="18"/>
        </w:rPr>
        <w:t>5 June 2026 - 09:20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Westpac queried a $25,000 credit dated 28 May.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Asked Julie to confirm and evidence the source. If gifted, record accurately and obtain any required declaration.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Condition remains open. No conclusion has been reached about acceptability.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Current open item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Evidence for the $25,000 credit into Julie's NAB offset account has not yet been received. The funds-to-complete condition remains marked Requires review.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i w:val="0"/>
        <w:color w:val="A43B32"/>
        <w:sz w:val="15"/>
      </w:rPr>
      <w:t>FICTIONAL PROTOTYPE DATA - NOT A REAL CUSTOMER OR CREDIT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B7680"/>
        <w:sz w:val="16"/>
      </w:rPr>
      <w:t>MORTGAGE INTELLIGENCE  |  FIN-DEMO-0002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