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24D"/>
          <w:sz w:val="44"/>
        </w:rPr>
        <w:t>Current Business Debt Schedule</w:t>
      </w:r>
    </w:p>
    <w:p>
      <w:pPr>
        <w:spacing w:after="320"/>
      </w:pPr>
      <w:r>
        <w:rPr>
          <w:color w:val="64717D"/>
          <w:sz w:val="20"/>
        </w:rPr>
        <w:t>Harbourview Allied Health Pty Ltd | As at 31 July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8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Balance</w:t>
            </w:r>
          </w:p>
        </w:tc>
        <w:tc>
          <w:tcPr>
            <w:tcW w:type="dxa" w:w="108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Annual commitment</w:t>
            </w:r>
          </w:p>
        </w:tc>
        <w:tc>
          <w:tcPr>
            <w:tcW w:type="dxa" w:w="122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Remaining term</w:t>
            </w:r>
          </w:p>
        </w:tc>
        <w:tc>
          <w:tcPr>
            <w:tcW w:type="dxa" w:w="216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Security / note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Toyota Finance - equipment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$148,000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$4,000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$48,000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36 months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Equipment charge</w:t>
            </w:r>
          </w:p>
        </w:tc>
      </w:tr>
      <w:tr>
        <w:tc>
          <w:tcPr>
            <w:tcW w:type="dxa" w:w="2088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Business credit card</w:t>
            </w:r>
          </w:p>
        </w:tc>
        <w:tc>
          <w:tcPr>
            <w:tcW w:type="dxa" w:w="1152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$9,800</w:t>
            </w:r>
          </w:p>
        </w:tc>
        <w:tc>
          <w:tcPr>
            <w:tcW w:type="dxa" w:w="1080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Variable</w:t>
            </w:r>
          </w:p>
        </w:tc>
        <w:tc>
          <w:tcPr>
            <w:tcW w:type="dxa" w:w="1656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Excluded from committed annual debt</w:t>
            </w:r>
          </w:p>
        </w:tc>
        <w:tc>
          <w:tcPr>
            <w:tcW w:type="dxa" w:w="1224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Revolving</w:t>
            </w:r>
          </w:p>
        </w:tc>
        <w:tc>
          <w:tcPr>
            <w:tcW w:type="dxa" w:w="2160"/>
            <w:vAlign w:val="center"/>
            <w:shd w:fill="F2F5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$25,000 limit</w:t>
            </w:r>
          </w:p>
        </w:tc>
      </w:tr>
    </w:tbl>
    <w:p>
      <w:pPr>
        <w:spacing w:before="240"/>
      </w:pPr>
      <w:r>
        <w:rPr>
          <w:i/>
          <w:color w:val="64717D"/>
          <w:sz w:val="18"/>
        </w:rPr>
        <w:t>Prototype note: values require broker review and confirmation before use in any indicative assessment.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A43B32"/>
        <w:sz w:val="14"/>
      </w:rPr>
      <w:t>FICTIONAL PROTOTYPE DOCUMENT - NOT A REAL PERSON, ENTITY, TRANSACTION OR CREDIT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17D"/>
        <w:sz w:val="16"/>
      </w:rPr>
      <w:t>MORTGAGE INTELLIGENCE  |  COM-DEMO-0001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