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17324D"/>
          <w:sz w:val="44"/>
        </w:rPr>
        <w:t>Personal Assets and Liabilities</w:t>
      </w:r>
    </w:p>
    <w:p>
      <w:pPr>
        <w:spacing w:after="320"/>
      </w:pPr>
      <w:r>
        <w:rPr>
          <w:color w:val="64717D"/>
          <w:sz w:val="20"/>
        </w:rPr>
        <w:t>Emma Collins and David Collins | Declared 2 August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224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Director</w:t>
            </w:r>
          </w:p>
        </w:tc>
        <w:tc>
          <w:tcPr>
            <w:tcW w:type="dxa" w:w="1800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Asset</w:t>
            </w:r>
          </w:p>
        </w:tc>
        <w:tc>
          <w:tcPr>
            <w:tcW w:type="dxa" w:w="1224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Asset value</w:t>
            </w:r>
          </w:p>
        </w:tc>
        <w:tc>
          <w:tcPr>
            <w:tcW w:type="dxa" w:w="1512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Liability</w:t>
            </w:r>
          </w:p>
        </w:tc>
        <w:tc>
          <w:tcPr>
            <w:tcW w:type="dxa" w:w="1152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Balance</w:t>
            </w:r>
          </w:p>
        </w:tc>
        <w:tc>
          <w:tcPr>
            <w:tcW w:type="dxa" w:w="1872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Ownership / note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Emma Collins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Home - West End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$1,420,000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Home loan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$510,000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Joint</w:t>
            </w:r>
          </w:p>
        </w:tc>
      </w:tr>
      <w:tr>
        <w:tc>
          <w:tcPr>
            <w:tcW w:type="dxa" w:w="1224"/>
            <w:vAlign w:val="center"/>
            <w:shd w:fill="F2F5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Emma Collins</w:t>
            </w:r>
          </w:p>
        </w:tc>
        <w:tc>
          <w:tcPr>
            <w:tcW w:type="dxa" w:w="1800"/>
            <w:vAlign w:val="center"/>
            <w:shd w:fill="F2F5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Cash and investments</w:t>
            </w:r>
          </w:p>
        </w:tc>
        <w:tc>
          <w:tcPr>
            <w:tcW w:type="dxa" w:w="1224"/>
            <w:vAlign w:val="center"/>
            <w:shd w:fill="F2F5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$285,000</w:t>
            </w:r>
          </w:p>
        </w:tc>
        <w:tc>
          <w:tcPr>
            <w:tcW w:type="dxa" w:w="1512"/>
            <w:vAlign w:val="center"/>
            <w:shd w:fill="F2F5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Credit card</w:t>
            </w:r>
          </w:p>
        </w:tc>
        <w:tc>
          <w:tcPr>
            <w:tcW w:type="dxa" w:w="1152"/>
            <w:vAlign w:val="center"/>
            <w:shd w:fill="F2F5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$4,500</w:t>
            </w:r>
          </w:p>
        </w:tc>
        <w:tc>
          <w:tcPr>
            <w:tcW w:type="dxa" w:w="1872"/>
            <w:vAlign w:val="center"/>
            <w:shd w:fill="F2F5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Personal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David Collins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Home - West End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$1,420,000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Home loan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$510,000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Joint</w:t>
            </w:r>
          </w:p>
        </w:tc>
      </w:tr>
      <w:tr>
        <w:tc>
          <w:tcPr>
            <w:tcW w:type="dxa" w:w="1224"/>
            <w:vAlign w:val="center"/>
            <w:shd w:fill="F2F5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David Collins</w:t>
            </w:r>
          </w:p>
        </w:tc>
        <w:tc>
          <w:tcPr>
            <w:tcW w:type="dxa" w:w="1800"/>
            <w:vAlign w:val="center"/>
            <w:shd w:fill="F2F5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Cash and investments</w:t>
            </w:r>
          </w:p>
        </w:tc>
        <w:tc>
          <w:tcPr>
            <w:tcW w:type="dxa" w:w="1224"/>
            <w:vAlign w:val="center"/>
            <w:shd w:fill="F2F5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$248,000</w:t>
            </w:r>
          </w:p>
        </w:tc>
        <w:tc>
          <w:tcPr>
            <w:tcW w:type="dxa" w:w="1512"/>
            <w:vAlign w:val="center"/>
            <w:shd w:fill="F2F5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Motor vehicle loan</w:t>
            </w:r>
          </w:p>
        </w:tc>
        <w:tc>
          <w:tcPr>
            <w:tcW w:type="dxa" w:w="1152"/>
            <w:vAlign w:val="center"/>
            <w:shd w:fill="F2F5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$22,000</w:t>
            </w:r>
          </w:p>
        </w:tc>
        <w:tc>
          <w:tcPr>
            <w:tcW w:type="dxa" w:w="1872"/>
            <w:vAlign w:val="center"/>
            <w:shd w:fill="F2F5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Personal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Joint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Superannuation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$612,000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Other liabilities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$0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Declared</w:t>
            </w:r>
          </w:p>
        </w:tc>
      </w:tr>
    </w:tbl>
    <w:p>
      <w:pPr>
        <w:spacing w:before="240"/>
      </w:pPr>
      <w:r>
        <w:rPr>
          <w:i/>
          <w:color w:val="64717D"/>
          <w:sz w:val="18"/>
        </w:rPr>
        <w:t>Prototype note: values require broker review and confirmation before use in any indicative assessment.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A43B32"/>
        <w:sz w:val="14"/>
      </w:rPr>
      <w:t>FICTIONAL PROTOTYPE DOCUMENT - NOT A REAL PERSON, ENTITY, TRANSACTION OR CREDIT APPLICATION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4717D"/>
        <w:sz w:val="16"/>
      </w:rPr>
      <w:t>MORTGAGE INTELLIGENCE  |  COM-DEMO-0001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