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Repasando funciones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en MYSQL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2º ASIR</w:t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ti5cemoda8o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shqcsvo86i67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hqcsvo86i67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_shqcsvo86i67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qk6mjcob6s5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Capturas de la creación: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_kqk6mjcob6s5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f6yic6r4276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Capturas de la ejecución y comprobación: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_bf6yic6r4276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kqk6mjcob6s5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Capturas de la creación:</w:t>
      </w:r>
    </w:p>
    <w:p w:rsidR="00000000" w:rsidDel="00000000" w:rsidP="00000000" w:rsidRDefault="00000000" w:rsidRPr="00000000" w14:paraId="00000039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En necesario mencionar que necesitaremos modificar la variable </w:t>
      </w: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log_bin_trust_function_creators,  </w:t>
      </w:r>
      <w:r w:rsidDel="00000000" w:rsidR="00000000" w:rsidRPr="00000000">
        <w:rPr>
          <w:color w:val="333333"/>
          <w:highlight w:val="white"/>
          <w:rtl w:val="0"/>
        </w:rPr>
        <w:t xml:space="preserve">la modificaremos a 1 con la siguiente consulta:</w:t>
      </w:r>
    </w:p>
    <w:p w:rsidR="00000000" w:rsidDel="00000000" w:rsidP="00000000" w:rsidRDefault="00000000" w:rsidRPr="00000000" w14:paraId="0000003A">
      <w:pPr>
        <w:pageBreakBefore w:val="0"/>
        <w:rPr>
          <w:color w:val="333333"/>
          <w:highlight w:val="white"/>
        </w:rPr>
      </w:pPr>
      <w:r w:rsidDel="00000000" w:rsidR="00000000" w:rsidRPr="00000000">
        <w:rPr>
          <w:b w:val="1"/>
          <w:i w:val="1"/>
          <w:color w:val="333333"/>
          <w:sz w:val="21"/>
          <w:szCs w:val="21"/>
          <w:highlight w:val="white"/>
          <w:rtl w:val="0"/>
        </w:rPr>
        <w:t xml:space="preserve">SET GLOBAL log_bin_trust_function_creators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Introducimos nuestro código en Workbench y en caso de ya existir la funcion, utilizamos: drop function producto_getName; antes de ejecutar nuestro código.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bf6yic6r4276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Capturas de la ejecución y comprobación: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Aquí podemos observar la llamada a la función y la comprobación final, dándonos los resultados esperados.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