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rFonts w:ascii="Times New Roman" w:cs="Times New Roman" w:eastAsia="Times New Roman" w:hAnsi="Times New Roman"/>
          <w:b w:val="1"/>
          <w:sz w:val="64"/>
          <w:szCs w:val="6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>
          <w:rFonts w:ascii="Times New Roman" w:cs="Times New Roman" w:eastAsia="Times New Roman" w:hAnsi="Times New Roman"/>
          <w:b w:val="1"/>
          <w:sz w:val="64"/>
          <w:szCs w:val="6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64"/>
          <w:szCs w:val="64"/>
          <w:u w:val="single"/>
          <w:rtl w:val="0"/>
        </w:rPr>
        <w:t xml:space="preserve">Actividad Evaluable 2</w:t>
      </w:r>
    </w:p>
    <w:p w:rsidR="00000000" w:rsidDel="00000000" w:rsidP="00000000" w:rsidRDefault="00000000" w:rsidRPr="00000000" w14:paraId="00000005">
      <w:pPr>
        <w:jc w:val="center"/>
        <w:rPr>
          <w:rFonts w:ascii="Times New Roman" w:cs="Times New Roman" w:eastAsia="Times New Roman" w:hAnsi="Times New Roman"/>
          <w:b w:val="1"/>
          <w:sz w:val="64"/>
          <w:szCs w:val="6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64"/>
          <w:szCs w:val="64"/>
          <w:u w:val="single"/>
          <w:rtl w:val="0"/>
        </w:rPr>
        <w:t xml:space="preserve">Norma ISO 27001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840000" cy="38400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40000" cy="384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Daniel Escaño Hernández</w:t>
        <w:tab/>
        <w:tab/>
        <w:tab/>
        <w:tab/>
        <w:tab/>
        <w:tab/>
        <w:t xml:space="preserve">CET Ciberseguridad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Style w:val="Heading1"/>
        <w:rPr>
          <w:rFonts w:ascii="Spectral" w:cs="Spectral" w:eastAsia="Spectral" w:hAnsi="Spectral"/>
          <w:b w:val="1"/>
          <w:u w:val="single"/>
        </w:rPr>
      </w:pPr>
      <w:bookmarkStart w:colFirst="0" w:colLast="0" w:name="_u3m2w22qmzkq" w:id="0"/>
      <w:bookmarkEnd w:id="0"/>
      <w:r w:rsidDel="00000000" w:rsidR="00000000" w:rsidRPr="00000000">
        <w:rPr>
          <w:rFonts w:ascii="Spectral" w:cs="Spectral" w:eastAsia="Spectral" w:hAnsi="Spectral"/>
          <w:b w:val="1"/>
          <w:u w:val="single"/>
          <w:rtl w:val="0"/>
        </w:rPr>
        <w:t xml:space="preserve">1. Índice</w:t>
      </w:r>
    </w:p>
    <w:p w:rsidR="00000000" w:rsidDel="00000000" w:rsidP="00000000" w:rsidRDefault="00000000" w:rsidRPr="00000000" w14:paraId="0000001E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F">
          <w:pPr>
            <w:tabs>
              <w:tab w:val="right" w:leader="none" w:pos="9025.511811023624"/>
            </w:tabs>
            <w:spacing w:before="80" w:line="240" w:lineRule="auto"/>
            <w:ind w:left="0" w:firstLine="0"/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u3m2w22qmzkq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1. Índice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_u3m2w22qmzkq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tabs>
              <w:tab w:val="right" w:leader="none" w:pos="9025.511811023624"/>
            </w:tabs>
            <w:spacing w:before="200" w:line="240" w:lineRule="auto"/>
            <w:ind w:left="0" w:firstLine="0"/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yby49ic4bcux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2. Instalación y Comprobación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_yby49ic4bcux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tabs>
              <w:tab w:val="right" w:leader="none" w:pos="9025.511811023624"/>
            </w:tabs>
            <w:spacing w:before="200" w:line="240" w:lineRule="auto"/>
            <w:ind w:left="0" w:firstLine="0"/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j9g269yk3gth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3. Funciones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_j9g269yk3gth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tabs>
              <w:tab w:val="right" w:leader="none" w:pos="9025.511811023624"/>
            </w:tabs>
            <w:spacing w:after="80" w:before="200" w:line="240" w:lineRule="auto"/>
            <w:ind w:left="0" w:firstLine="0"/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mc2el73yx6wd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4. Conclusión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_mc2el73yx6wd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Style w:val="Heading1"/>
        <w:rPr>
          <w:rFonts w:ascii="Spectral" w:cs="Spectral" w:eastAsia="Spectral" w:hAnsi="Spectral"/>
          <w:b w:val="1"/>
          <w:u w:val="single"/>
        </w:rPr>
      </w:pPr>
      <w:bookmarkStart w:colFirst="0" w:colLast="0" w:name="_yby49ic4bcux" w:id="1"/>
      <w:bookmarkEnd w:id="1"/>
      <w:r w:rsidDel="00000000" w:rsidR="00000000" w:rsidRPr="00000000">
        <w:rPr>
          <w:rFonts w:ascii="Spectral" w:cs="Spectral" w:eastAsia="Spectral" w:hAnsi="Spectral"/>
          <w:b w:val="1"/>
          <w:u w:val="single"/>
          <w:rtl w:val="0"/>
        </w:rPr>
        <w:t xml:space="preserve">2. Instalación y Comprobación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/>
        <w:drawing>
          <wp:inline distB="114300" distT="114300" distL="114300" distR="114300">
            <wp:extent cx="5133975" cy="2810539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23035" l="10299" r="33887" t="22600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281053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Style w:val="Heading1"/>
        <w:rPr>
          <w:rFonts w:ascii="Spectral" w:cs="Spectral" w:eastAsia="Spectral" w:hAnsi="Spectral"/>
          <w:b w:val="1"/>
          <w:u w:val="single"/>
        </w:rPr>
      </w:pPr>
      <w:bookmarkStart w:colFirst="0" w:colLast="0" w:name="_j9g269yk3gth" w:id="2"/>
      <w:bookmarkEnd w:id="2"/>
      <w:r w:rsidDel="00000000" w:rsidR="00000000" w:rsidRPr="00000000">
        <w:rPr>
          <w:rFonts w:ascii="Spectral" w:cs="Spectral" w:eastAsia="Spectral" w:hAnsi="Spectral"/>
          <w:b w:val="1"/>
          <w:u w:val="single"/>
          <w:rtl w:val="0"/>
        </w:rPr>
        <w:t xml:space="preserve">3. Funciones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-Asistentes de implementación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 xml:space="preserve">-Plantillas de documentos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-Recordatorios de acción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 xml:space="preserve">-Todo en tableros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 xml:space="preserve">-Totalmente aceptable para su auditoría de certificación ISO 27001</w:t>
      </w:r>
    </w:p>
    <w:p w:rsidR="00000000" w:rsidDel="00000000" w:rsidP="00000000" w:rsidRDefault="00000000" w:rsidRPr="00000000" w14:paraId="00000046">
      <w:pPr>
        <w:pStyle w:val="Heading1"/>
        <w:rPr/>
      </w:pPr>
      <w:bookmarkStart w:colFirst="0" w:colLast="0" w:name="_mc2el73yx6wd" w:id="3"/>
      <w:bookmarkEnd w:id="3"/>
      <w:r w:rsidDel="00000000" w:rsidR="00000000" w:rsidRPr="00000000">
        <w:rPr>
          <w:rFonts w:ascii="Spectral" w:cs="Spectral" w:eastAsia="Spectral" w:hAnsi="Spectral"/>
          <w:b w:val="1"/>
          <w:u w:val="single"/>
          <w:rtl w:val="0"/>
        </w:rPr>
        <w:t xml:space="preserve">4. Conclusión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 xml:space="preserve">En mi opinión, el software Conformio es una herramienta en línea elegante para el cumplimiento de la norma ISO. Le ayuda a implementar y mantener su ISO 9001, ISO 14001, ISO 27001 o sistemas con facilidad.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  <w:t xml:space="preserve">Con Conformio se puede mejorar el trabajo de equipo con una sola herramienta diseñada para la gestión de documentos, proyectos, y la comunicación. No requiere ninguna formación o instalaciones.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  <w:t xml:space="preserve">Todo lo que hay que usar es una conexión a Internet y un navegador web. Otra ventaja de Conformio es que se puede probar de forma gratuita.</w:t>
      </w:r>
    </w:p>
    <w:sectPr>
      <w:footerReference r:id="rId8" w:type="default"/>
      <w:footerReference r:id="rId9" w:type="first"/>
      <w:pgSz w:h="16834" w:w="11909" w:orient="portrait"/>
      <w:pgMar w:bottom="1440" w:top="1440" w:left="1440" w:right="1440" w:header="720" w:footer="720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Spectral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C">
    <w:pPr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D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Relationship Id="rId8" Type="http://schemas.openxmlformats.org/officeDocument/2006/relationships/footer" Target="footer2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Spectral-regular.ttf"/><Relationship Id="rId2" Type="http://schemas.openxmlformats.org/officeDocument/2006/relationships/font" Target="fonts/Spectral-bold.ttf"/><Relationship Id="rId3" Type="http://schemas.openxmlformats.org/officeDocument/2006/relationships/font" Target="fonts/Spectral-italic.ttf"/><Relationship Id="rId4" Type="http://schemas.openxmlformats.org/officeDocument/2006/relationships/font" Target="fonts/Spectral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