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0"/>
        <w:jc w:val="center"/>
      </w:pPr>
      <w:r>
        <w:rPr>
          <w:b/>
          <w:bCs/>
          <w:sz w:val="32"/>
          <w:szCs w:val="32"/>
        </w:rPr>
        <w:t xml:space="preserve">SRS ADDENDUM A</w:t>
      </w:r>
    </w:p>
    <w:p>
      <w:pPr>
        <w:spacing w:after="120"/>
        <w:jc w:val="center"/>
      </w:pPr>
      <w:r>
        <w:rPr>
          <w:b/>
          <w:bCs/>
          <w:color w:val="2E5A88"/>
          <w:sz w:val="36"/>
          <w:szCs w:val="36"/>
        </w:rPr>
        <w:t xml:space="preserve">Patois-Lyricist Curated Release Pipeline</w:t>
      </w:r>
    </w:p>
    <w:p>
      <w:pPr>
        <w:spacing w:after="480"/>
        <w:jc w:val="center"/>
      </w:pPr>
      <w:r>
        <w:rPr>
          <w:i/>
          <w:iCs/>
          <w:sz w:val="24"/>
          <w:szCs w:val="24"/>
        </w:rPr>
        <w:t xml:space="preserve">Decision Record: Distributor, Source-Platform Rights, PRO Registration, Hosting &amp; Runtime</w:t>
      </w:r>
    </w:p>
    <w:p>
      <w:pPr>
        <w:jc w:val="center"/>
      </w:pPr>
      <w:r>
        <w:rPr>
          <w:sz w:val="22"/>
          <w:szCs w:val="22"/>
        </w:rPr>
        <w:t xml:space="preserve">Document ID: TUC-ICT-SRS-2026-PLCRP-001-ADD-A</w:t>
      </w:r>
    </w:p>
    <w:p>
      <w:pPr>
        <w:spacing w:after="800"/>
        <w:jc w:val="center"/>
      </w:pPr>
      <w:r>
        <w:rPr>
          <w:sz w:val="22"/>
          <w:szCs w:val="22"/>
        </w:rPr>
        <w:t xml:space="preserve">Parent SRS: v1.0  |  Addendum Version: 1.0  |  Date: 20 April 2026</w:t>
      </w:r>
    </w:p>
    <w:p>
      <w:pPr>
        <w:spacing w:after="120"/>
        <w:jc w:val="center"/>
      </w:pPr>
      <w:r>
        <w:rPr>
          <w:b/>
          <w:bCs/>
          <w:sz w:val="24"/>
          <w:szCs w:val="24"/>
        </w:rPr>
        <w:t xml:space="preserve">Purpose</w:t>
      </w:r>
    </w:p>
    <w:p>
      <w:pPr>
        <w:jc w:val="center"/>
      </w:pPr>
      <w:r>
        <w:rPr>
          <w:sz w:val="22"/>
          <w:szCs w:val="22"/>
        </w:rPr>
        <w:t xml:space="preserve">This addendum resolves the five open questions listed in SRS v1.0 Appendix C, producing a definitive decision record that will be merged into SRS v2.0.</w:t>
      </w:r>
    </w:p>
    <w:p>
      <w:r>
        <w:br w:type="page"/>
      </w:r>
    </w:p>
    <w:p>
      <w:pPr>
        <w:pStyle w:val="Heading1"/>
        <w:spacing w:after="180" w:before="360"/>
      </w:pPr>
      <w:r>
        <w:t xml:space="preserve">1. Distributor Choice</w:t>
      </w:r>
    </w:p>
    <w:p>
      <w:pPr>
        <w:pStyle w:val="Heading2"/>
        <w:spacing w:after="140" w:before="280"/>
      </w:pPr>
      <w:r>
        <w:t xml:space="preserve">1.1 Candidate Comparison</w:t>
      </w:r>
    </w:p>
    <w:p>
      <w:pPr>
        <w:spacing w:after="120"/>
      </w:pPr>
      <w:r>
        <w:t xml:space="preserve">Three distributors dominate the independent space in 2026: DistroKid, TuneCore, and CD Baby. Their AI-music postures differ sharply, and that difference is more decisive for this pipeline than their pricing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Criterion</w:t>
            </w:r>
          </w:p>
        </w:tc>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DistroKid</w:t>
            </w:r>
          </w:p>
        </w:tc>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TuneCore</w:t>
            </w:r>
          </w:p>
        </w:tc>
        <w:tc>
          <w:tcPr>
            <w:tcW w:type="dxa" w:w="27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CD Baby</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Pricing (entry)</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$22.99/yr flat, unlimited uploads</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$9.99/yr/single or $29.99/yr/album (annual renewal)</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$9.99 per single, $29 per album — one-time, no renewal</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Royalty share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100% to artist (minus flat fee)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100% to artist</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91% to artist (9% to CD Baby)</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AI-music policy</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Permissive if disclosed; no upload cap; flagged-but-undisclosed tracks are removed; repeat offenders risk suspension</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'Not 100% AI-generated' required; resubmission allowed on flag; downstream DSP flags can propagate back and cause removal</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Effectively hostile: help-center language states 'You will not be able to distribute A.I.-generated content'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Best fit for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Prolific releasers, AI-assisted workflows with disclosure, Spotify pre-save + splits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Artists wanting robust analytics, sync placements, and established publishing admin</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Infrequent releasers wanting permanent one-time catalog</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Speed to DSPs</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1–5 business days (typically fastest)</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2–5 business days</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3–7 business days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Fraud-prevention posture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Aggressive; has historically removed tracks on artificial-streaming suspicion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Tightening; follows DSP flags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More curated but slower</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Ghana-based artist support</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Works globally; USD billing</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Works globally; USD billing</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Works globally; USD billing</w:t>
            </w:r>
          </w:p>
        </w:tc>
      </w:tr>
    </w:tbl>
    <w:p>
      <w:pPr>
        <w:pStyle w:val="Heading2"/>
        <w:spacing w:after="140" w:before="280"/>
      </w:pPr>
      <w:r>
        <w:t xml:space="preserve">1.2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C" w:sz="4"/>
              <w:left w:val="single" w:color="E8A83C" w:sz="16"/>
              <w:bottom w:val="single" w:color="E8A83C" w:sz="4"/>
              <w:right w:val="single" w:color="E8A83C" w:sz="4"/>
            </w:tcBorders>
            <w:shd w:fill="FFF4D6" w:val="clear"/>
            <w:tcMar>
              <w:top w:type="dxa" w:w="140"/>
              <w:left w:type="dxa" w:w="200"/>
              <w:bottom w:type="dxa" w:w="140"/>
              <w:right w:type="dxa" w:w="200"/>
            </w:tcMar>
          </w:tcPr>
          <w:p>
            <w:pPr>
              <w:spacing w:after="80"/>
            </w:pPr>
            <w:r>
              <w:rPr>
                <w:b/>
                <w:bCs/>
                <w:color w:val="8A5A00"/>
              </w:rPr>
              <w:t xml:space="preserve">DECISION — DistroKid Musician Plus ($39.99/year)</w:t>
            </w:r>
          </w:p>
          <w:p>
            <w:pPr>
              <w:spacing w:after="0"/>
            </w:pPr>
            <w:r>
              <w:t xml:space="preserve">DistroKid is the correct distributor for PLCRP v1.0. It is the only mainstream distributor whose 2026 AI policy is explicitly permissive-with-disclosure rather than restrictive or ambiguous. It is also the cheapest per release at the volumes PLCRP envisions (up to ~24 singles + 4 EPs per year across two aliases), and its Splits feature natively supports the collaborator split-sheets required by FR-4.3.</w:t>
            </w:r>
          </w:p>
        </w:tc>
      </w:tr>
    </w:tbl>
    <w:p>
      <w:pPr>
        <w:pStyle w:val="Heading2"/>
        <w:spacing w:after="140" w:before="280"/>
      </w:pPr>
      <w:r>
        <w:t xml:space="preserve">1.3 Rationale</w:t>
      </w:r>
    </w:p>
    <w:p>
      <w:pPr>
        <w:pStyle w:val="ListParagraph"/>
        <w:numPr>
          <w:ilvl w:val="0"/>
          <w:numId w:val="2"/>
        </w:numPr>
        <w:spacing w:after="80"/>
      </w:pPr>
      <w:r>
        <w:t xml:space="preserve">CD Baby is eliminated. Their own help-center states AI-generated content cannot be distributed. Uploading Suno-sourced tracks there, even paid-tier with human authorship, is a TOS breach.</w:t>
      </w:r>
    </w:p>
    <w:p>
      <w:pPr>
        <w:pStyle w:val="ListParagraph"/>
        <w:numPr>
          <w:ilvl w:val="0"/>
          <w:numId w:val="2"/>
        </w:numPr>
        <w:spacing w:after="80"/>
      </w:pPr>
      <w:r>
        <w:t xml:space="preserve">TuneCore is second choice. Their 'not 100% AI-generated' rule is actually compatible with PLCRP's human-authorship layer (S4 always adds substantive human contribution). However, the downstream-flag propagation model — a Spotify/Apple flag can cause TuneCore to remove the track and escalate account scrutiny — compounds risk.</w:t>
      </w:r>
    </w:p>
    <w:p>
      <w:pPr>
        <w:pStyle w:val="ListParagraph"/>
        <w:numPr>
          <w:ilvl w:val="0"/>
          <w:numId w:val="2"/>
        </w:numPr>
        <w:spacing w:after="80"/>
      </w:pPr>
      <w:r>
        <w:t xml:space="preserve">DistroKid aligns mechanically with PLCRP. Unlimited uploads suit the long-tail (B-Tier → Content ID) strategy without per-track cost pressure. The AI-disclosure checkbox maps directly to the DDEX AI-disclosure metadata in FR-5.1. The Splits feature maps directly to the collaborator split-sheet requirement in FR-4.3.</w:t>
      </w:r>
    </w:p>
    <w:p>
      <w:pPr>
        <w:pStyle w:val="ListParagraph"/>
        <w:numPr>
          <w:ilvl w:val="0"/>
          <w:numId w:val="2"/>
        </w:numPr>
        <w:spacing w:after="80"/>
      </w:pPr>
      <w:r>
        <w:t xml:space="preserve">The Musician Plus tier ($39.99/yr) — not the base Musician tier — is required because it includes Splits, custom label name (for 'DJ KoFAi' as label brand), custom release dates (needed for pre-release playlist pitching), and Spotify pre-save.</w:t>
      </w:r>
    </w:p>
    <w:p>
      <w:pPr>
        <w:pStyle w:val="Heading2"/>
        <w:spacing w:after="140" w:before="280"/>
      </w:pPr>
      <w:r>
        <w:t xml:space="preserve">1.4 Alias Handling</w:t>
      </w:r>
    </w:p>
    <w:p>
      <w:pPr>
        <w:spacing w:after="120"/>
      </w:pPr>
      <w:r>
        <w:t xml:space="preserve">Musician Plus covers 1 artist name. PLCRP uses three aliases (DJ KoFAi, DJ CyStorm, DJ Genie). The upgrade path is:</w:t>
      </w:r>
    </w:p>
    <w:p>
      <w:pPr>
        <w:pStyle w:val="ListParagraph"/>
        <w:numPr>
          <w:ilvl w:val="0"/>
          <w:numId w:val="2"/>
        </w:numPr>
        <w:spacing w:after="80"/>
      </w:pPr>
      <w:r>
        <w:t xml:space="preserve">Option A — Start with the Professional tier ($79.99/yr, covers up to 5 artists). Recommended.</w:t>
      </w:r>
    </w:p>
    <w:p>
      <w:pPr>
        <w:pStyle w:val="ListParagraph"/>
        <w:numPr>
          <w:ilvl w:val="0"/>
          <w:numId w:val="2"/>
        </w:numPr>
        <w:spacing w:after="80"/>
      </w:pPr>
      <w:r>
        <w:t xml:space="preserve">Option B — Start with Musician Plus on DJ KoFAi only; add CyStorm and Genie later by upgrading. Cheaper initially but delays the sync/stock pipeline under DJ Genie.</w:t>
      </w:r>
    </w:p>
    <w:p>
      <w:pPr>
        <w:spacing w:after="120"/>
      </w:pPr>
      <w:r>
        <w:t xml:space="preserve">Given that DJ Genie is the sync/stock pipeline (Artlist/Pond5 route, not streaming DSPs), DJ Genie may not need DistroKid at all in year 1 — sync libraries ingest direct. This collapses the real decision to DJ KoFAi + DJ CyStorm = 2 artists, which Professional covers with room to spare. Musician Plus + a later upgrade is acceptable; Professional is cleaner.</w:t>
      </w:r>
    </w:p>
    <w:p>
      <w:r>
        <w:br w:type="page"/>
      </w:r>
    </w:p>
    <w:p>
      <w:pPr>
        <w:pStyle w:val="Heading1"/>
        <w:spacing w:after="180" w:before="360"/>
      </w:pPr>
      <w:r>
        <w:t xml:space="preserve">2. Producer.ai — Terms of Service Review</w:t>
      </w:r>
    </w:p>
    <w:p>
      <w:pPr>
        <w:pStyle w:val="Heading2"/>
        <w:spacing w:after="140" w:before="280"/>
      </w:pPr>
      <w:r>
        <w:t xml:space="preserve">2.1 Material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C" w:sz="4"/>
              <w:left w:val="single" w:color="E8A83C" w:sz="16"/>
              <w:bottom w:val="single" w:color="E8A83C" w:sz="4"/>
              <w:right w:val="single" w:color="E8A83C" w:sz="4"/>
            </w:tcBorders>
            <w:shd w:fill="FFE4E1" w:val="clear"/>
            <w:tcMar>
              <w:top w:type="dxa" w:w="140"/>
              <w:left w:type="dxa" w:w="200"/>
              <w:bottom w:type="dxa" w:w="140"/>
              <w:right w:type="dxa" w:w="200"/>
            </w:tcMar>
          </w:tcPr>
          <w:p>
            <w:pPr>
              <w:spacing w:after="80"/>
            </w:pPr>
            <w:r>
              <w:rPr>
                <w:b/>
                <w:bCs/>
                <w:color w:val="8A5A00"/>
              </w:rPr>
              <w:t xml:space="preserve">CRITICAL — Producer.ai is a Google product.</w:t>
            </w:r>
          </w:p>
          <w:p>
            <w:pPr>
              <w:spacing w:after="0"/>
            </w:pPr>
            <w:r>
              <w:t xml:space="preserve">The Producer.ai Privacy Notice is issued by Google LLC, and the Terms of Service page returns Google's general Terms of Service. This is not a minor fact. It means Google's Generative AI Prohibited Use Policy applies, and that any commercial-rights analysis must be conducted against Google's terms — not against a standalone start-up's TOS.</w:t>
            </w:r>
          </w:p>
        </w:tc>
      </w:tr>
    </w:tbl>
    <w:p>
      <w:pPr>
        <w:pStyle w:val="Heading2"/>
        <w:spacing w:after="140" w:before="280"/>
      </w:pPr>
      <w:r>
        <w:t xml:space="preserve">2.2 What Is Known</w:t>
      </w:r>
    </w:p>
    <w:p>
      <w:pPr>
        <w:pStyle w:val="ListParagraph"/>
        <w:numPr>
          <w:ilvl w:val="0"/>
          <w:numId w:val="2"/>
        </w:numPr>
        <w:spacing w:after="80"/>
      </w:pPr>
      <w:r>
        <w:t xml:space="preserve">Producer.ai markets itself as a generative AI instrument for creating, remixing, and sharing 'studio-quality songs from simple prompts', supporting stem swap and track extension.</w:t>
      </w:r>
    </w:p>
    <w:p>
      <w:pPr>
        <w:pStyle w:val="ListParagraph"/>
        <w:numPr>
          <w:ilvl w:val="0"/>
          <w:numId w:val="2"/>
        </w:numPr>
        <w:spacing w:after="80"/>
      </w:pPr>
      <w:r>
        <w:t xml:space="preserve">The platform is operated by Google LLC, per the Privacy Notice.</w:t>
      </w:r>
    </w:p>
    <w:p>
      <w:pPr>
        <w:pStyle w:val="ListParagraph"/>
        <w:numPr>
          <w:ilvl w:val="0"/>
          <w:numId w:val="2"/>
        </w:numPr>
        <w:spacing w:after="80"/>
      </w:pPr>
      <w:r>
        <w:t xml:space="preserve">Commercial use is governed by the Producer.ai 'Plans and Policies → Song Usage' documentation, which was not publicly retrievable at the time of writing (403 access-controlled).</w:t>
      </w:r>
    </w:p>
    <w:p>
      <w:pPr>
        <w:pStyle w:val="ListParagraph"/>
        <w:numPr>
          <w:ilvl w:val="0"/>
          <w:numId w:val="2"/>
        </w:numPr>
        <w:spacing w:after="80"/>
      </w:pPr>
      <w:r>
        <w:t xml:space="preserve">Google's general TOS and its service-specific Generative AI Prohibited Use Policy therefore apply as baseline.</w:t>
      </w:r>
    </w:p>
    <w:p>
      <w:pPr>
        <w:pStyle w:val="Heading2"/>
        <w:spacing w:after="140" w:before="280"/>
      </w:pPr>
      <w:r>
        <w:t xml:space="preserve">2.3 What Must Be Confirmed Before Release</w:t>
      </w:r>
    </w:p>
    <w:p>
      <w:pPr>
        <w:spacing w:after="120"/>
      </w:pPr>
      <w:r>
        <w:t xml:space="preserve">Before any Producer.ai-sourced track can be advanced past Stage S2 (Rights Audit), the operator MUST — while logged into the Producer.ai account under which the tracks were generated — obtain and preserve the following:</w:t>
      </w:r>
    </w:p>
    <w:p>
      <w:pPr>
        <w:pStyle w:val="ListParagraph"/>
        <w:numPr>
          <w:ilvl w:val="0"/>
          <w:numId w:val="2"/>
        </w:numPr>
        <w:spacing w:after="80"/>
      </w:pPr>
      <w:r>
        <w:t xml:space="preserve">The current Song Usage policy page (at producer.ai/docs/plans-and-policies/song-usage), saved as PDF and hashed for the RightsEvidence ledger</w:t>
      </w:r>
    </w:p>
    <w:p>
      <w:pPr>
        <w:pStyle w:val="ListParagraph"/>
        <w:numPr>
          <w:ilvl w:val="0"/>
          <w:numId w:val="2"/>
        </w:numPr>
        <w:spacing w:after="80"/>
      </w:pPr>
      <w:r>
        <w:t xml:space="preserve">The specific tier the account was on at each track's generation timestamp (free vs paid) and what commercial rights, if any, that tier confers</w:t>
      </w:r>
    </w:p>
    <w:p>
      <w:pPr>
        <w:pStyle w:val="ListParagraph"/>
        <w:numPr>
          <w:ilvl w:val="0"/>
          <w:numId w:val="2"/>
        </w:numPr>
        <w:spacing w:after="80"/>
      </w:pPr>
      <w:r>
        <w:t xml:space="preserve">Whether Producer.ai, like Suno, has a non-retroactive rule (free-tier outputs remain non-commercial even after upgrade)</w:t>
      </w:r>
    </w:p>
    <w:p>
      <w:pPr>
        <w:pStyle w:val="ListParagraph"/>
        <w:numPr>
          <w:ilvl w:val="0"/>
          <w:numId w:val="2"/>
        </w:numPr>
        <w:spacing w:after="80"/>
      </w:pPr>
      <w:r>
        <w:t xml:space="preserve">Whether attribution to 'Producer.ai' or 'Google' is required in metadata or liner notes</w:t>
      </w:r>
    </w:p>
    <w:p>
      <w:pPr>
        <w:pStyle w:val="ListParagraph"/>
        <w:numPr>
          <w:ilvl w:val="0"/>
          <w:numId w:val="2"/>
        </w:numPr>
        <w:spacing w:after="80"/>
      </w:pPr>
      <w:r>
        <w:t xml:space="preserve">Any prohibition on commercial use on streaming DSPs specifically</w:t>
      </w:r>
    </w:p>
    <w:p>
      <w:pPr>
        <w:pStyle w:val="Heading2"/>
        <w:spacing w:after="140" w:before="280"/>
      </w:pPr>
      <w:r>
        <w:t xml:space="preserve">2.4 Default Classification Pending Confirmation</w:t>
      </w:r>
    </w:p>
    <w:p>
      <w:pPr>
        <w:spacing w:after="120"/>
      </w:pPr>
      <w:r>
        <w:t xml:space="preserve">Until the above is confirmed in writing, PLCRP SHALL classify every Producer.ai-sourced track as rights_status = AMBIGUOUS and quarantine it in Stage S2. This is the same treatment any unverifiable track receives under FR-2.1 / FR-2.3 of the parent SRS.</w:t>
      </w:r>
    </w:p>
    <w:p>
      <w:pPr>
        <w:pStyle w:val="Heading2"/>
        <w:spacing w:after="140" w:before="280"/>
      </w:pPr>
      <w:r>
        <w:t xml:space="preserve">2.5 Practical Recommendation</w:t>
      </w:r>
    </w:p>
    <w:p>
      <w:pPr>
        <w:spacing w:after="120"/>
      </w:pPr>
      <w:r>
        <w:t xml:space="preserve">The operator should treat Producer.ai as a lower-confidence source than paid-tier Suno for now. The reasoning:</w:t>
      </w:r>
    </w:p>
    <w:p>
      <w:pPr>
        <w:pStyle w:val="ListParagraph"/>
        <w:numPr>
          <w:ilvl w:val="0"/>
          <w:numId w:val="2"/>
        </w:numPr>
        <w:spacing w:after="80"/>
      </w:pPr>
      <w:r>
        <w:t xml:space="preserve">Google's overall AI output policies have shifted several times; locking commercial plans to a product with evolving terms adds platform risk</w:t>
      </w:r>
    </w:p>
    <w:p>
      <w:pPr>
        <w:pStyle w:val="ListParagraph"/>
        <w:numPr>
          <w:ilvl w:val="0"/>
          <w:numId w:val="2"/>
        </w:numPr>
        <w:spacing w:after="80"/>
      </w:pPr>
      <w:r>
        <w:t xml:space="preserve">Producer.ai's public-facing commercial-rights documentation is less mature than Suno's 2026 Rights &amp; Ownership policy</w:t>
      </w:r>
    </w:p>
    <w:p>
      <w:pPr>
        <w:pStyle w:val="ListParagraph"/>
        <w:numPr>
          <w:ilvl w:val="0"/>
          <w:numId w:val="2"/>
        </w:numPr>
        <w:spacing w:after="80"/>
      </w:pPr>
      <w:r>
        <w:t xml:space="preserve">Suno Pro/Premier explicitly grants commercial rights on paid-tier outputs; Producer.ai's equivalent guarantee is not yet independently verifiable</w:t>
      </w:r>
    </w:p>
    <w:p>
      <w:pPr>
        <w:spacing w:after="120"/>
      </w:pPr>
      <w:r>
        <w:t xml:space="preserve">For this reason, the 90-day execution roadmap in the parent SRS (Appendix B) should prioritise Suno Pro/Premier regeneration for the A-Tier. Producer.ai tracks may be used for non-commercial exploration, B-Tier Content ID experiments (where the risk posture is lower), or deferred entirely until the TOS review is complete.</w:t>
      </w:r>
    </w:p>
    <w:p>
      <w:r>
        <w:br w:type="page"/>
      </w:r>
    </w:p>
    <w:p>
      <w:pPr>
        <w:pStyle w:val="Heading1"/>
        <w:spacing w:after="180" w:before="360"/>
      </w:pPr>
      <w:r>
        <w:t xml:space="preserve">3. GHAMRO vs Reciprocal PRO</w:t>
      </w:r>
    </w:p>
    <w:p>
      <w:pPr>
        <w:pStyle w:val="Heading2"/>
        <w:spacing w:after="140" w:before="280"/>
      </w:pPr>
      <w:r>
        <w:t xml:space="preserve">3.1 Background</w:t>
      </w:r>
    </w:p>
    <w:p>
      <w:pPr>
        <w:spacing w:after="120"/>
      </w:pPr>
      <w:r>
        <w:t xml:space="preserve">GHAMRO — the Ghana Music Rights Organization — is Ghana's only statutorily-approved Collective Management Organisation for music performance rights. It was established under Section 49 of the Copyright Act 2005 (Act 690), regulated under L.I. 1962 of 2010, and holds reciprocal representation agreements with peer CMOs in approximately 150 countries. In Ghana, there is no legal alternative: an application to establish a second collection society was rejected by the Minister for Justice.</w:t>
      </w:r>
    </w:p>
    <w:p>
      <w:pPr>
        <w:pStyle w:val="Heading2"/>
        <w:spacing w:after="140" w:before="280"/>
      </w:pPr>
      <w:r>
        <w:t xml:space="preserve">3.2 The Core Tension</w:t>
      </w:r>
    </w:p>
    <w:p>
      <w:pPr>
        <w:spacing w:after="120"/>
      </w:pPr>
      <w:r>
        <w:t xml:space="preserve">GHAMRO is the correct legal home for a Ghana-resident rights-holder. However, GHAMRO has faced persistent public criticism from Ghanaian artists (including Stonebwoy and Kwaw Kese) over the speed and transparency of royalty distribution. High-profile acts frequently pair GHAMRO membership with registration at a stronger reciprocal PRO for international income, typically:</w:t>
      </w:r>
    </w:p>
    <w:p>
      <w:pPr>
        <w:pStyle w:val="ListParagraph"/>
        <w:numPr>
          <w:ilvl w:val="0"/>
          <w:numId w:val="2"/>
        </w:numPr>
        <w:spacing w:after="80"/>
      </w:pPr>
      <w:r>
        <w:t xml:space="preserve">ASCAP or BMI (USA) — strong US performance-royalty collection; open to non-resident writers</w:t>
      </w:r>
    </w:p>
    <w:p>
      <w:pPr>
        <w:pStyle w:val="ListParagraph"/>
        <w:numPr>
          <w:ilvl w:val="0"/>
          <w:numId w:val="2"/>
        </w:numPr>
        <w:spacing w:after="80"/>
      </w:pPr>
      <w:r>
        <w:t xml:space="preserve">PRS for Music (UK) — strong UK/European reach</w:t>
      </w:r>
    </w:p>
    <w:p>
      <w:pPr>
        <w:pStyle w:val="ListParagraph"/>
        <w:numPr>
          <w:ilvl w:val="0"/>
          <w:numId w:val="2"/>
        </w:numPr>
        <w:spacing w:after="80"/>
      </w:pPr>
      <w:r>
        <w:t xml:space="preserve">SACEM (France) — continental European coverage</w:t>
      </w:r>
    </w:p>
    <w:p>
      <w:pPr>
        <w:spacing w:after="120"/>
      </w:pPr>
      <w:r>
        <w:t xml:space="preserve">Reciprocal-agreement theory says international income flows back to your home PRO automatically. In practice, income captured directly by the foreign PRO (because you registered with them) is faster, more complete, and more auditable.</w:t>
      </w:r>
    </w:p>
    <w:p>
      <w:pPr>
        <w:pStyle w:val="Heading2"/>
        <w:spacing w:after="140" w:before="280"/>
      </w:pPr>
      <w:r>
        <w:t xml:space="preserve">3.3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Option</w:t>
            </w:r>
          </w:p>
        </w:tc>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Legal status in Ghana</w:t>
            </w:r>
          </w:p>
        </w:tc>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International reach</w:t>
            </w:r>
          </w:p>
        </w:tc>
        <w:tc>
          <w:tcPr>
            <w:tcW w:type="dxa" w:w="23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Practical friction</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GHAMRO only</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Correct</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Via reciprocal agreements (slow, partial)</w:t>
            </w:r>
          </w:p>
        </w:tc>
        <w:tc>
          <w:tcPr>
            <w:tcW w:type="dxa" w:w="2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Low admin; royalty distribution speed criticized</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GHAMRO + ASCAP (as non-US affiliate writer)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Correct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Strong USA capture + reciprocal elsewhere</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Moderate: dual membership admin, split registration per work</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GHAMRO + BMI</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Correct</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Similar to ASCAP; BMI is open to international writers</w:t>
            </w:r>
          </w:p>
        </w:tc>
        <w:tc>
          <w:tcPr>
            <w:tcW w:type="dxa" w:w="2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Moderate: dual membership admin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GHAMRO + PRS for Music</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Correct (UK residency not required for writers)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Strong UK/EU capture</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Moderate: £100 one-time writer fee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Skip GHAMRO, foreign PRO only</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Incorrect — forfeits Ghana-collected royalties on local airplay of own catalog</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Strong in chosen territory</w:t>
            </w:r>
          </w:p>
        </w:tc>
        <w:tc>
          <w:tcPr>
            <w:tcW w:type="dxa" w:w="2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Low initially, creates future friction</w:t>
            </w:r>
          </w:p>
        </w:tc>
      </w:tr>
    </w:tbl>
    <w:p>
      <w:pPr>
        <w:pStyle w:val="Heading2"/>
        <w:spacing w:after="140" w:before="280"/>
      </w:pPr>
      <w:r>
        <w:t xml:space="preserve">3.4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C" w:sz="4"/>
              <w:left w:val="single" w:color="E8A83C" w:sz="16"/>
              <w:bottom w:val="single" w:color="E8A83C" w:sz="4"/>
              <w:right w:val="single" w:color="E8A83C" w:sz="4"/>
            </w:tcBorders>
            <w:shd w:fill="FFF4D6" w:val="clear"/>
            <w:tcMar>
              <w:top w:type="dxa" w:w="140"/>
              <w:left w:type="dxa" w:w="200"/>
              <w:bottom w:type="dxa" w:w="140"/>
              <w:right w:type="dxa" w:w="200"/>
            </w:tcMar>
          </w:tcPr>
          <w:p>
            <w:pPr>
              <w:spacing w:after="80"/>
            </w:pPr>
            <w:r>
              <w:rPr>
                <w:b/>
                <w:bCs/>
                <w:color w:val="8A5A00"/>
              </w:rPr>
              <w:t xml:space="preserve">DECISION — Dual registration: GHAMRO (Ghana) + ASCAP (USA)</w:t>
            </w:r>
          </w:p>
          <w:p>
            <w:pPr>
              <w:spacing w:after="0"/>
            </w:pPr>
            <w:r>
              <w:t xml:space="preserve">Register with GHAMRO first, as the statutory home PRO. Then register with ASCAP as a non-US affiliate writer to capture US-sourced streaming and broadcast royalties directly. ASCAP is chosen over BMI for its longer-standing international-writer programme and its stronger reggae/dancehall repertoire. PRS for Music can be added in year 2 if sync placements in UK/EU media grow.</w:t>
            </w:r>
          </w:p>
        </w:tc>
      </w:tr>
    </w:tbl>
    <w:p>
      <w:pPr>
        <w:pStyle w:val="Heading2"/>
        <w:spacing w:after="140" w:before="280"/>
      </w:pPr>
      <w:r>
        <w:t xml:space="preserve">3.5 Registration Checklist</w:t>
      </w:r>
    </w:p>
    <w:p>
      <w:pPr>
        <w:spacing w:after="120"/>
      </w:pPr>
      <w:r>
        <w:t xml:space="preserve">Before first commercial release under DJ KoFAi:</w:t>
      </w:r>
    </w:p>
    <w:p>
      <w:pPr>
        <w:pStyle w:val="ListParagraph"/>
        <w:numPr>
          <w:ilvl w:val="0"/>
          <w:numId w:val="2"/>
        </w:numPr>
        <w:spacing w:after="80"/>
      </w:pPr>
      <w:r>
        <w:t xml:space="preserve">Step 1: Pick up GHAMRO membership forms from the Accra office (P.O. Box PMB M41, Accra). Full Membership requires proof of authorship on at least one released work.</w:t>
      </w:r>
    </w:p>
    <w:p>
      <w:pPr>
        <w:pStyle w:val="ListParagraph"/>
        <w:numPr>
          <w:ilvl w:val="0"/>
          <w:numId w:val="2"/>
        </w:numPr>
        <w:spacing w:after="80"/>
      </w:pPr>
      <w:r>
        <w:t xml:space="preserve">Step 2: Register as an ASCAP writer online (US$50 one-time fee). Non-US residency is permitted. An ASCAP publisher account can be added later if self-publishing under a DJ KoFAi publishing entity becomes worthwhile.</w:t>
      </w:r>
    </w:p>
    <w:p>
      <w:pPr>
        <w:pStyle w:val="ListParagraph"/>
        <w:numPr>
          <w:ilvl w:val="0"/>
          <w:numId w:val="2"/>
        </w:numPr>
        <w:spacing w:after="80"/>
      </w:pPr>
      <w:r>
        <w:t xml:space="preserve">Step 3: Register the first DJ KoFAi release with both PROs using matching writer and publisher splits (typically 100% writer / 100% publisher to yourself as sole creator).</w:t>
      </w:r>
    </w:p>
    <w:p>
      <w:pPr>
        <w:pStyle w:val="ListParagraph"/>
        <w:numPr>
          <w:ilvl w:val="0"/>
          <w:numId w:val="2"/>
        </w:numPr>
        <w:spacing w:after="80"/>
      </w:pPr>
      <w:r>
        <w:t xml:space="preserve">Step 4: Record each work's ISWC in the PLCRP metadata ledger (Section 6.1 of parent SRS).</w:t>
      </w:r>
    </w:p>
    <w:p>
      <w:pPr>
        <w:pStyle w:val="ListParagraph"/>
        <w:numPr>
          <w:ilvl w:val="0"/>
          <w:numId w:val="2"/>
        </w:numPr>
        <w:spacing w:after="80"/>
      </w:pPr>
      <w:r>
        <w:t xml:space="preserve">Step 5: Ensure DistroKid's distribution metadata lists the PRO affiliations correctly so Spotify and Apple Music report plays to the right societies.</w:t>
      </w:r>
    </w:p>
    <w:p>
      <w:pPr>
        <w:pStyle w:val="Heading2"/>
        <w:spacing w:after="140" w:before="280"/>
      </w:pPr>
      <w:r>
        <w:t xml:space="preserve">3.6 AI-Music Caveat</w:t>
      </w:r>
    </w:p>
    <w:p>
      <w:pPr>
        <w:spacing w:after="120"/>
      </w:pPr>
      <w:r>
        <w:t xml:space="preserve">Performing Rights Organisations typically require the registered work to be a 'musical work' with identified human authors. A work with no human authorship cannot be registered with GHAMRO or ASCAP. This is another reason Stage S4 of PLCRP (Human-Authorship Layer) is mandatory before any track is registered with a PRO. Human-authored lyrics are usually the cleanest authorship hook; the composition credit can then sit legitimately with the operator as lyricist plus arranger.</w:t>
      </w:r>
    </w:p>
    <w:p>
      <w:r>
        <w:br w:type="page"/>
      </w:r>
    </w:p>
    <w:p>
      <w:pPr>
        <w:pStyle w:val="Heading1"/>
        <w:spacing w:after="180" w:before="360"/>
      </w:pPr>
      <w:r>
        <w:t xml:space="preserve">4. Hosting — DigitalOcean Droplet</w:t>
      </w:r>
    </w:p>
    <w:p>
      <w:pPr>
        <w:pStyle w:val="Heading2"/>
        <w:spacing w:after="140" w:before="280"/>
      </w:pPr>
      <w:r>
        <w:t xml:space="preserve">4.1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C" w:sz="4"/>
              <w:left w:val="single" w:color="E8A83C" w:sz="16"/>
              <w:bottom w:val="single" w:color="E8A83C" w:sz="4"/>
              <w:right w:val="single" w:color="E8A83C" w:sz="4"/>
            </w:tcBorders>
            <w:shd w:fill="FFF4D6" w:val="clear"/>
            <w:tcMar>
              <w:top w:type="dxa" w:w="140"/>
              <w:left w:type="dxa" w:w="200"/>
              <w:bottom w:type="dxa" w:w="140"/>
              <w:right w:type="dxa" w:w="200"/>
            </w:tcMar>
          </w:tcPr>
          <w:p>
            <w:pPr>
              <w:spacing w:after="80"/>
            </w:pPr>
            <w:r>
              <w:rPr>
                <w:b/>
                <w:bCs/>
                <w:color w:val="8A5A00"/>
              </w:rPr>
              <w:t xml:space="preserve">DECISION — Dedicated DigitalOcean droplet, hostname patois.techbridge.edu.gh</w:t>
            </w:r>
          </w:p>
          <w:p>
            <w:pPr>
              <w:spacing w:after="0"/>
            </w:pPr>
            <w:r>
              <w:t xml:space="preserve">The PLCRP will run on a dedicated DigitalOcean droplet rather than the shared Plesk server at 66.226.72.199. This isolates the pipeline's rights ledger, creative masters, and royalty data from the broader TUC institutional infrastructure, which is the correct boundary given that PLCRP is a personal commercial operation running on university-adjacent branding.</w:t>
            </w:r>
          </w:p>
        </w:tc>
      </w:tr>
    </w:tbl>
    <w:p>
      <w:pPr>
        <w:pStyle w:val="Heading2"/>
        <w:spacing w:after="140" w:before="280"/>
      </w:pPr>
      <w:r>
        <w:t xml:space="preserve">4.2 Rationale</w:t>
      </w:r>
    </w:p>
    <w:p>
      <w:pPr>
        <w:pStyle w:val="ListParagraph"/>
        <w:numPr>
          <w:ilvl w:val="0"/>
          <w:numId w:val="2"/>
        </w:numPr>
        <w:spacing w:after="80"/>
      </w:pPr>
      <w:r>
        <w:t xml:space="preserve">Separation of concerns. Institutional (TUC, AUCDT, Moodle) workloads on the Plesk server must not be mixed with personal commercial operations. Any audit — whether from TUC governance, Ghana's Data Protection Commission, or a distributor's compliance team — is cleaner when the boundary is a separate droplet.</w:t>
      </w:r>
    </w:p>
    <w:p>
      <w:pPr>
        <w:pStyle w:val="ListParagraph"/>
        <w:numPr>
          <w:ilvl w:val="0"/>
          <w:numId w:val="2"/>
        </w:numPr>
        <w:spacing w:after="80"/>
      </w:pPr>
      <w:r>
        <w:t xml:space="preserve">Backup and disaster-recovery isolation. A compromise of the Plesk server (e.g., a Moodle plugin exploit) should not put the rights ledger or master audio files at risk. Physical separation achieves this.</w:t>
      </w:r>
    </w:p>
    <w:p>
      <w:pPr>
        <w:pStyle w:val="ListParagraph"/>
        <w:numPr>
          <w:ilvl w:val="0"/>
          <w:numId w:val="2"/>
        </w:numPr>
        <w:spacing w:after="80"/>
      </w:pPr>
      <w:r>
        <w:t xml:space="preserve">Resource predictability. The ingestion job (fingerprint 8,000 tracks) is CPU-heavy and would compete with Moodle/Nginx if co-hosted.</w:t>
      </w:r>
    </w:p>
    <w:p>
      <w:pPr>
        <w:pStyle w:val="ListParagraph"/>
        <w:numPr>
          <w:ilvl w:val="0"/>
          <w:numId w:val="2"/>
        </w:numPr>
        <w:spacing w:after="80"/>
      </w:pPr>
      <w:r>
        <w:t xml:space="preserve">Legal posture. The SRS classifies this as Daniel F. Twum's personal commercial operation; hosting it on university infrastructure blurs that line unnecessarily.</w:t>
      </w:r>
    </w:p>
    <w:p>
      <w:pPr>
        <w:pStyle w:val="Heading2"/>
        <w:spacing w:after="140" w:before="280"/>
      </w:pPr>
      <w:r>
        <w:t xml:space="preserve">4.3 Recommended Droplet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Phase</w:t>
            </w:r>
          </w:p>
        </w:tc>
        <w:tc>
          <w:tcPr>
            <w:tcW w:type="dxa" w:w="3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Droplet</w:t>
            </w:r>
          </w:p>
        </w:tc>
        <w:tc>
          <w:tcPr>
            <w:tcW w:type="dxa" w:w="37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Rationale</w:t>
            </w:r>
          </w:p>
        </w:tc>
      </w:tr>
      <w:tr>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Phase 1 — Ingest + audit (weeks 1–6)</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Premium AMD, 4 vCPU / 8 GB RAM / 160 GB NVMe ($48/mo)</w:t>
            </w:r>
          </w:p>
        </w:tc>
        <w:tc>
          <w:tcPr>
            <w:tcW w:type="dxa" w:w="3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Handles one-time fingerprinting of 8,000 tracks; 160 GB fits full WAV catalog + working copies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Phase 2 — Steady state (month 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Basic AMD, 2 vCPU / 4 GB RAM / 80 GB NVMe ($24/mo)</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Low steady-state load; ingest is complete; resize down</w:t>
            </w:r>
          </w:p>
        </w:tc>
      </w:tr>
      <w:tr>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Storage expansion</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DigitalOcean Spaces (S3-compatible) 250 GB at $5/mo</w:t>
            </w:r>
          </w:p>
        </w:tc>
        <w:tc>
          <w:tcPr>
            <w:tcW w:type="dxa" w:w="3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Cold storage for archival masters + off-droplet RightsEvidence backup</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Database backups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Automated daily snapshots (20% of droplet cost)</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Satisfies RPO ≤ 24 h requirement from SRS §4.5</w:t>
            </w:r>
          </w:p>
        </w:tc>
      </w:tr>
    </w:tbl>
    <w:p>
      <w:pPr>
        <w:pStyle w:val="Heading2"/>
        <w:spacing w:after="140" w:before="280"/>
      </w:pPr>
      <w:r>
        <w:t xml:space="preserve">4.4 Region Selection</w:t>
      </w:r>
    </w:p>
    <w:p>
      <w:pPr>
        <w:pStyle w:val="ListParagraph"/>
        <w:numPr>
          <w:ilvl w:val="0"/>
          <w:numId w:val="2"/>
        </w:numPr>
        <w:spacing w:after="80"/>
      </w:pPr>
      <w:r>
        <w:t xml:space="preserve">Primary: NYC3 or AMS3 — both have stronger uptime SLAs and latency-to-CDN than regions closer to Ghana</w:t>
      </w:r>
    </w:p>
    <w:p>
      <w:pPr>
        <w:pStyle w:val="ListParagraph"/>
        <w:numPr>
          <w:ilvl w:val="0"/>
          <w:numId w:val="2"/>
        </w:numPr>
        <w:spacing w:after="80"/>
      </w:pPr>
      <w:r>
        <w:t xml:space="preserve">Consider: FRA1 (Frankfurt) for lower latency from Ghana (~120ms) and stronger EU data-residency posture for any collaborator PII</w:t>
      </w:r>
    </w:p>
    <w:p>
      <w:pPr>
        <w:pStyle w:val="ListParagraph"/>
        <w:numPr>
          <w:ilvl w:val="0"/>
          <w:numId w:val="2"/>
        </w:numPr>
        <w:spacing w:after="80"/>
      </w:pPr>
      <w:r>
        <w:t xml:space="preserve">Avoid: Relying on single-region disaster recovery. Off-droplet backups go to DigitalOcean Spaces in a different region.</w:t>
      </w:r>
    </w:p>
    <w:p>
      <w:pPr>
        <w:pStyle w:val="Heading2"/>
        <w:spacing w:after="140" w:before="280"/>
      </w:pPr>
      <w:r>
        <w:t xml:space="preserve">4.5 DNS and TLS</w:t>
      </w:r>
    </w:p>
    <w:p>
      <w:pPr>
        <w:pStyle w:val="ListParagraph"/>
        <w:numPr>
          <w:ilvl w:val="0"/>
          <w:numId w:val="2"/>
        </w:numPr>
        <w:spacing w:after="80"/>
      </w:pPr>
      <w:r>
        <w:t xml:space="preserve">Create A record: patois.techbridge.edu.gh → droplet floating IP. DNS managed via the existing techbridge.edu.gh zone (recall: this zone had prior split-brain issues; ensure the record lands in the authoritative zone at Codero).</w:t>
      </w:r>
    </w:p>
    <w:p>
      <w:pPr>
        <w:pStyle w:val="ListParagraph"/>
        <w:numPr>
          <w:ilvl w:val="0"/>
          <w:numId w:val="2"/>
        </w:numPr>
        <w:spacing w:after="80"/>
      </w:pPr>
      <w:r>
        <w:t xml:space="preserve">TLS via Let's Encrypt + certbot auto-renewal</w:t>
      </w:r>
    </w:p>
    <w:p>
      <w:pPr>
        <w:pStyle w:val="ListParagraph"/>
        <w:numPr>
          <w:ilvl w:val="0"/>
          <w:numId w:val="2"/>
        </w:numPr>
        <w:spacing w:after="80"/>
      </w:pPr>
      <w:r>
        <w:t xml:space="preserve">HTTP/2 + HSTS on the Nginx front-end</w:t>
      </w:r>
    </w:p>
    <w:p>
      <w:pPr>
        <w:pStyle w:val="Heading2"/>
        <w:spacing w:after="140" w:before="280"/>
      </w:pPr>
      <w:r>
        <w:t xml:space="preserve">4.6 Security Hardening (aligns with SRS §4.4)</w:t>
      </w:r>
    </w:p>
    <w:p>
      <w:pPr>
        <w:pStyle w:val="ListParagraph"/>
        <w:numPr>
          <w:ilvl w:val="0"/>
          <w:numId w:val="2"/>
        </w:numPr>
        <w:spacing w:after="80"/>
      </w:pPr>
      <w:r>
        <w:t xml:space="preserve">UFW firewall: allow 22/tcp (SSH) from whitelisted IPs only, 80/tcp and 443/tcp public</w:t>
      </w:r>
    </w:p>
    <w:p>
      <w:pPr>
        <w:pStyle w:val="ListParagraph"/>
        <w:numPr>
          <w:ilvl w:val="0"/>
          <w:numId w:val="2"/>
        </w:numPr>
        <w:spacing w:after="80"/>
      </w:pPr>
      <w:r>
        <w:t xml:space="preserve">SSH: key-only, disable password auth, non-standard port optional</w:t>
      </w:r>
    </w:p>
    <w:p>
      <w:pPr>
        <w:pStyle w:val="ListParagraph"/>
        <w:numPr>
          <w:ilvl w:val="0"/>
          <w:numId w:val="2"/>
        </w:numPr>
        <w:spacing w:after="80"/>
      </w:pPr>
      <w:r>
        <w:t xml:space="preserve">Fail2ban on SSH, Nginx, and the application login endpoint</w:t>
      </w:r>
    </w:p>
    <w:p>
      <w:pPr>
        <w:pStyle w:val="ListParagraph"/>
        <w:numPr>
          <w:ilvl w:val="0"/>
          <w:numId w:val="2"/>
        </w:numPr>
        <w:spacing w:after="80"/>
      </w:pPr>
      <w:r>
        <w:t xml:space="preserve">Unattended-upgrades for security patches</w:t>
      </w:r>
    </w:p>
    <w:p>
      <w:pPr>
        <w:pStyle w:val="ListParagraph"/>
        <w:numPr>
          <w:ilvl w:val="0"/>
          <w:numId w:val="2"/>
        </w:numPr>
        <w:spacing w:after="80"/>
      </w:pPr>
      <w:r>
        <w:t xml:space="preserve">DigitalOcean Cloud Firewall as a second layer (defence in depth)</w:t>
      </w:r>
    </w:p>
    <w:p>
      <w:pPr>
        <w:pStyle w:val="ListParagraph"/>
        <w:numPr>
          <w:ilvl w:val="0"/>
          <w:numId w:val="2"/>
        </w:numPr>
        <w:spacing w:after="80"/>
      </w:pPr>
      <w:r>
        <w:t xml:space="preserve">Weekly automated DB dump + encrypted upload to DigitalOcean Spaces</w:t>
      </w:r>
    </w:p>
    <w:p>
      <w:pPr>
        <w:pStyle w:val="ListParagraph"/>
        <w:numPr>
          <w:ilvl w:val="0"/>
          <w:numId w:val="2"/>
        </w:numPr>
        <w:spacing w:after="80"/>
      </w:pPr>
      <w:r>
        <w:t xml:space="preserve">Audit log and rights-evidence files encrypted at rest using LUKS on a separate block-storage volume</w:t>
      </w:r>
    </w:p>
    <w:p>
      <w:r>
        <w:br w:type="page"/>
      </w:r>
    </w:p>
    <w:p>
      <w:pPr>
        <w:pStyle w:val="Heading1"/>
        <w:spacing w:after="180" w:before="360"/>
      </w:pPr>
      <w:r>
        <w:t xml:space="preserve">5. Runtime — Node.js 20 LTS + Fastify</w:t>
      </w:r>
    </w:p>
    <w:p>
      <w:pPr>
        <w:pStyle w:val="Heading2"/>
        <w:spacing w:after="140" w:before="280"/>
      </w:pPr>
      <w:r>
        <w:t xml:space="preserve">5.1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C" w:sz="4"/>
              <w:left w:val="single" w:color="E8A83C" w:sz="16"/>
              <w:bottom w:val="single" w:color="E8A83C" w:sz="4"/>
              <w:right w:val="single" w:color="E8A83C" w:sz="4"/>
            </w:tcBorders>
            <w:shd w:fill="FFF4D6" w:val="clear"/>
            <w:tcMar>
              <w:top w:type="dxa" w:w="140"/>
              <w:left w:type="dxa" w:w="200"/>
              <w:bottom w:type="dxa" w:w="140"/>
              <w:right w:type="dxa" w:w="200"/>
            </w:tcMar>
          </w:tcPr>
          <w:p>
            <w:pPr>
              <w:spacing w:after="80"/>
            </w:pPr>
            <w:r>
              <w:rPr>
                <w:b/>
                <w:bCs/>
                <w:color w:val="8A5A00"/>
              </w:rPr>
              <w:t xml:space="preserve">DECISION — Node.js 20 LTS with Fastify framework</w:t>
            </w:r>
          </w:p>
          <w:p>
            <w:pPr>
              <w:spacing w:after="0"/>
            </w:pPr>
            <w:r>
              <w:t xml:space="preserve">The PLCRP backend will run on Node.js 20 LTS with the Fastify web framework. Heavier batch jobs (fingerprinting, royalty ingestion) will run as BullMQ workers on the same Node.js runtime, backed by Redis. Java 21 / Spring Boot is explicitly deferred: it is not justified by current workload and would add operational complexity for a single-operator system.</w:t>
            </w:r>
          </w:p>
        </w:tc>
      </w:tr>
    </w:tbl>
    <w:p>
      <w:pPr>
        <w:pStyle w:val="Heading2"/>
        <w:spacing w:after="140" w:before="280"/>
      </w:pPr>
      <w:r>
        <w:t xml:space="preserve">5.2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Layer</w:t>
            </w:r>
          </w:p>
        </w:tc>
        <w:tc>
          <w:tcPr>
            <w:tcW w:type="dxa" w:w="71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Components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Reverse proxy</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Nginx — TLS termination, static asset serving, rate limiting</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Application — API</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Fastify 4.x on Node.js 20 LTS — REST/JSON endpoints, JWT auth, OpenAPI 3.1 auto-generated</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Application — Workers</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BullMQ processors on Node.js 20 LTS — ingest, fingerprint, DDEX export, royalty reconciliation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Primary DB</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MariaDB 10.11 — rights ledger, tracks, releases, audit log</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Cache + Queue</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Redis 7 — session tokens, BullMQ queue backend, rate-limit counters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Audio tooling</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FFmpeg (transcode, loudness normalization), chromaprint / fpcalc (fingerprint), essentia-extractor (BPM/key)</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Frontend</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React 19 + TypeScript + Vite — served as static build by Nginx</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Containerization</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Docker Compose — one compose file brings up Nginx, api, worker, mariadb, redis</w:t>
            </w:r>
          </w:p>
        </w:tc>
      </w:tr>
    </w:tbl>
    <w:p>
      <w:pPr>
        <w:pStyle w:val="Heading2"/>
        <w:spacing w:after="140" w:before="280"/>
      </w:pPr>
      <w:r>
        <w:t xml:space="preserve">5.3 Why Fastify</w:t>
      </w:r>
    </w:p>
    <w:p>
      <w:pPr>
        <w:pStyle w:val="ListParagraph"/>
        <w:numPr>
          <w:ilvl w:val="0"/>
          <w:numId w:val="2"/>
        </w:numPr>
        <w:spacing w:after="80"/>
      </w:pPr>
      <w:r>
        <w:t xml:space="preserve">Schema-first: JSON Schema validation is native and produces the OpenAPI 3.1 spec required by SRS §4.2 without extra tooling</w:t>
      </w:r>
    </w:p>
    <w:p>
      <w:pPr>
        <w:pStyle w:val="ListParagraph"/>
        <w:numPr>
          <w:ilvl w:val="0"/>
          <w:numId w:val="2"/>
        </w:numPr>
        <w:spacing w:after="80"/>
      </w:pPr>
      <w:r>
        <w:t xml:space="preserve">Performance: roughly 2–3× Express throughput on the same hardware — relevant given the ingest-heavy workload</w:t>
      </w:r>
    </w:p>
    <w:p>
      <w:pPr>
        <w:pStyle w:val="ListParagraph"/>
        <w:numPr>
          <w:ilvl w:val="0"/>
          <w:numId w:val="2"/>
        </w:numPr>
        <w:spacing w:after="80"/>
      </w:pPr>
      <w:r>
        <w:t xml:space="preserve">Plugin ecosystem: @fastify/jwt, @fastify/cors, @fastify/rate-limit, @fastify/multipart (for audio upload), @fastify/swagger all first-party</w:t>
      </w:r>
    </w:p>
    <w:p>
      <w:pPr>
        <w:pStyle w:val="ListParagraph"/>
        <w:numPr>
          <w:ilvl w:val="0"/>
          <w:numId w:val="2"/>
        </w:numPr>
        <w:spacing w:after="80"/>
      </w:pPr>
      <w:r>
        <w:t xml:space="preserve">TypeScript-native types, matching the user's preferred stack</w:t>
      </w:r>
    </w:p>
    <w:p>
      <w:pPr>
        <w:pStyle w:val="ListParagraph"/>
        <w:numPr>
          <w:ilvl w:val="0"/>
          <w:numId w:val="2"/>
        </w:numPr>
        <w:spacing w:after="80"/>
      </w:pPr>
      <w:r>
        <w:t xml:space="preserve">Small surface area — well-suited to a single-operator system that one person needs to understand end-to-end</w:t>
      </w:r>
    </w:p>
    <w:p>
      <w:pPr>
        <w:pStyle w:val="Heading2"/>
        <w:spacing w:after="140" w:before="280"/>
      </w:pPr>
      <w:r>
        <w:t xml:space="preserve">5.4 Why Not Spring Boot / Java 21</w:t>
      </w:r>
    </w:p>
    <w:p>
      <w:pPr>
        <w:pStyle w:val="ListParagraph"/>
        <w:numPr>
          <w:ilvl w:val="0"/>
          <w:numId w:val="2"/>
        </w:numPr>
        <w:spacing w:after="80"/>
      </w:pPr>
      <w:r>
        <w:t xml:space="preserve">Operationally heavier: JVM tuning, build artifacts, GC considerations — all unjustified overhead for current workload</w:t>
      </w:r>
    </w:p>
    <w:p>
      <w:pPr>
        <w:pStyle w:val="ListParagraph"/>
        <w:numPr>
          <w:ilvl w:val="0"/>
          <w:numId w:val="2"/>
        </w:numPr>
        <w:spacing w:after="80"/>
      </w:pPr>
      <w:r>
        <w:t xml:space="preserve">Higher RAM footprint: 2 GB minimum for comfortable Spring Boot + MariaDB + Redis; Node stack runs comfortably in 1 GB</w:t>
      </w:r>
    </w:p>
    <w:p>
      <w:pPr>
        <w:pStyle w:val="ListParagraph"/>
        <w:numPr>
          <w:ilvl w:val="0"/>
          <w:numId w:val="2"/>
        </w:numPr>
        <w:spacing w:after="80"/>
      </w:pPr>
      <w:r>
        <w:t xml:space="preserve">Slower iteration: compile-deploy cycle, less suitable for a pipeline that will evolve fast in the first 90 days</w:t>
      </w:r>
    </w:p>
    <w:p>
      <w:pPr>
        <w:pStyle w:val="ListParagraph"/>
        <w:numPr>
          <w:ilvl w:val="0"/>
          <w:numId w:val="2"/>
        </w:numPr>
        <w:spacing w:after="80"/>
      </w:pPr>
      <w:r>
        <w:t xml:space="preserve">Spring Boot remains a valid option IF a future phase introduces heavy CPU-bound analytics or the operator takes on a Java-fluent collaborator; it can be introduced alongside Node (mixed architecture) rather than replacing it</w:t>
      </w:r>
    </w:p>
    <w:p>
      <w:pPr>
        <w:pStyle w:val="Heading2"/>
        <w:spacing w:after="140" w:before="280"/>
      </w:pPr>
      <w:r>
        <w:t xml:space="preserve">5.5 Project Layout</w:t>
      </w:r>
    </w:p>
    <w:p>
      <w:pPr>
        <w:spacing w:after="120"/>
      </w:pPr>
      <w:r>
        <w:t xml:space="preserve">Monorepo under /opt/plcrp on the droplet, organised as:</w:t>
      </w:r>
    </w:p>
    <w:p>
      <w:pPr>
        <w:pStyle w:val="ListParagraph"/>
        <w:numPr>
          <w:ilvl w:val="0"/>
          <w:numId w:val="2"/>
        </w:numPr>
        <w:spacing w:after="80"/>
      </w:pPr>
      <w:r>
        <w:t xml:space="preserve">apps/api — Fastify REST API</w:t>
      </w:r>
    </w:p>
    <w:p>
      <w:pPr>
        <w:pStyle w:val="ListParagraph"/>
        <w:numPr>
          <w:ilvl w:val="0"/>
          <w:numId w:val="2"/>
        </w:numPr>
        <w:spacing w:after="80"/>
      </w:pPr>
      <w:r>
        <w:t xml:space="preserve">apps/worker — BullMQ job processors</w:t>
      </w:r>
    </w:p>
    <w:p>
      <w:pPr>
        <w:pStyle w:val="ListParagraph"/>
        <w:numPr>
          <w:ilvl w:val="0"/>
          <w:numId w:val="2"/>
        </w:numPr>
        <w:spacing w:after="80"/>
      </w:pPr>
      <w:r>
        <w:t xml:space="preserve">apps/web — React 19 + Vite frontend</w:t>
      </w:r>
    </w:p>
    <w:p>
      <w:pPr>
        <w:pStyle w:val="ListParagraph"/>
        <w:numPr>
          <w:ilvl w:val="0"/>
          <w:numId w:val="2"/>
        </w:numPr>
        <w:spacing w:after="80"/>
      </w:pPr>
      <w:r>
        <w:t xml:space="preserve">packages/schema — shared JSON schemas (Track, EnhancedTrack, Release, RightsEvidence, AuditLogEntry) used by api, worker, and web</w:t>
      </w:r>
    </w:p>
    <w:p>
      <w:pPr>
        <w:pStyle w:val="ListParagraph"/>
        <w:numPr>
          <w:ilvl w:val="0"/>
          <w:numId w:val="2"/>
        </w:numPr>
        <w:spacing w:after="80"/>
      </w:pPr>
      <w:r>
        <w:t xml:space="preserve">packages/db — MariaDB migrations and query helpers</w:t>
      </w:r>
    </w:p>
    <w:p>
      <w:pPr>
        <w:pStyle w:val="ListParagraph"/>
        <w:numPr>
          <w:ilvl w:val="0"/>
          <w:numId w:val="2"/>
        </w:numPr>
        <w:spacing w:after="80"/>
      </w:pPr>
      <w:r>
        <w:t xml:space="preserve">infra/docker — docker-compose.yml, Dockerfiles, Nginx config</w:t>
      </w:r>
    </w:p>
    <w:p>
      <w:pPr>
        <w:pStyle w:val="ListParagraph"/>
        <w:numPr>
          <w:ilvl w:val="0"/>
          <w:numId w:val="2"/>
        </w:numPr>
        <w:spacing w:after="80"/>
      </w:pPr>
      <w:r>
        <w:t xml:space="preserve">docs — per Bulletproof Directive item 5.3, all SRS documents, guides, and architecture diagrams live here</w:t>
      </w:r>
    </w:p>
    <w:p>
      <w:pPr>
        <w:pStyle w:val="Heading2"/>
        <w:spacing w:after="140" w:before="280"/>
      </w:pPr>
      <w:r>
        <w:t xml:space="preserve">5.6 CI/CD</w:t>
      </w:r>
    </w:p>
    <w:p>
      <w:pPr>
        <w:pStyle w:val="ListParagraph"/>
        <w:numPr>
          <w:ilvl w:val="0"/>
          <w:numId w:val="2"/>
        </w:numPr>
        <w:spacing w:after="80"/>
      </w:pPr>
      <w:r>
        <w:t xml:space="preserve">Source: self-hosted Gitea or GitHub private repo</w:t>
      </w:r>
    </w:p>
    <w:p>
      <w:pPr>
        <w:pStyle w:val="ListParagraph"/>
        <w:numPr>
          <w:ilvl w:val="0"/>
          <w:numId w:val="2"/>
        </w:numPr>
        <w:spacing w:after="80"/>
      </w:pPr>
      <w:r>
        <w:t xml:space="preserve">Pipeline: Bitbucket Pipelines (consistent with existing TUC CI/CD) or GitHub Actions</w:t>
      </w:r>
    </w:p>
    <w:p>
      <w:pPr>
        <w:pStyle w:val="ListParagraph"/>
        <w:numPr>
          <w:ilvl w:val="0"/>
          <w:numId w:val="2"/>
        </w:numPr>
        <w:spacing w:after="80"/>
      </w:pPr>
      <w:r>
        <w:t xml:space="preserve">Build: pnpm install → pnpm test → pnpm build → docker build → push to registry</w:t>
      </w:r>
    </w:p>
    <w:p>
      <w:pPr>
        <w:pStyle w:val="ListParagraph"/>
        <w:numPr>
          <w:ilvl w:val="0"/>
          <w:numId w:val="2"/>
        </w:numPr>
        <w:spacing w:after="80"/>
      </w:pPr>
      <w:r>
        <w:t xml:space="preserve">Deploy: SSH into droplet, docker compose pull, docker compose up -d</w:t>
      </w:r>
    </w:p>
    <w:p>
      <w:pPr>
        <w:pStyle w:val="ListParagraph"/>
        <w:numPr>
          <w:ilvl w:val="0"/>
          <w:numId w:val="2"/>
        </w:numPr>
        <w:spacing w:after="80"/>
      </w:pPr>
      <w:r>
        <w:t xml:space="preserve">Zero-downtime: Nginx upstream swap between blue/green compose projects (optional for v2.0)</w:t>
      </w:r>
    </w:p>
    <w:p>
      <w:r>
        <w:br w:type="page"/>
      </w:r>
    </w:p>
    <w:p>
      <w:pPr>
        <w:pStyle w:val="Heading1"/>
        <w:spacing w:after="180" w:before="360"/>
      </w:pPr>
      <w:r>
        <w:t xml:space="preserve">6. Updated 90-Day Execution Roadmap</w:t>
      </w:r>
    </w:p>
    <w:p>
      <w:pPr>
        <w:spacing w:after="120"/>
      </w:pPr>
      <w:r>
        <w:t xml:space="preserve">With all five open questions resolved, the roadmap from SRS v1.0 Appendix B is refined below with concrete deliverables and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rPr>
          <w:tblHeader/>
        </w:trPr>
        <w:tc>
          <w:tcPr>
            <w:tcW w:type="dxa" w:w="1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Window</w:t>
            </w:r>
          </w:p>
        </w:tc>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Milestone</w:t>
            </w:r>
          </w:p>
        </w:tc>
        <w:tc>
          <w:tcPr>
            <w:tcW w:type="dxa" w:w="3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Deliverables</w:t>
            </w:r>
          </w:p>
        </w:tc>
        <w:tc>
          <w:tcPr>
            <w:tcW w:type="dxa" w:w="27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External dependencies</w:t>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Days 1–7</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Infrastructure stand-up</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DO droplet provisioned; DNS + TLS live at patois.techbridge.edu.gh; Docker Compose stack bootstrapped; empty MariaDB schema migrated</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DigitalOcean account; DNS zone access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Days 8–14</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Backlog ingest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All 8,000 tracks ingested with fingerprint, BPM, key; duplicates flagged</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Source filesystem access</w:t>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Days 15–21</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Rights audit pass</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All tracks classified as COMMERCIAL_ELIGIBLE / NON_COMMERCIAL / AMBIGUOUS; Producer.ai TOS review complete</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Suno + Producer.ai account history pulled</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Days 22–30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Curation pass 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A-Tier shortlist (50–100 tracks) with scoring rubric completed</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Listening time ~20–30 hours</w:t>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Days 31–37</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Paid-tier subscriptions + PRO registrations</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Suno Premier active; DistroKid Professional active; GHAMRO membership form submitted; ASCAP writer account live</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GHAMRO Accra office visit; ASCAP online form + $50</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Days 38–52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A-Tier regeneration under paid Suno</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A-Tier tracks regenerated with RightsEvidence attached; legally clean masters in hand</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Days 53–67</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Human-authorship layer on pilot EP</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3–5 EnhancedTracks with original lyrics, vocals, or substantive DAW arrangement; split-sheets signed if collaborators</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DAW access; possibly session musicians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Days 68–75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Metadata + packaging for pilot EP</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DDEX XML validated; ISRC + UPC from DistroKid; artwork to 6R directive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Days 76–84</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Submit pilot EP to DistroKid</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Release submitted with 2-week buffer before go-live; AI-disclosure checkbox set; Splits configured</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Days 85–90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Go live + first royalty ingest test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Pilot EP live on Spotify / Apple / Amazon; first YouTube Content ID claims active; royalty reconciliation dry run</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
            </w:r>
          </w:p>
        </w:tc>
      </w:tr>
    </w:tbl>
    <w:p>
      <w:r>
        <w:br w:type="page"/>
      </w:r>
    </w:p>
    <w:p>
      <w:pPr>
        <w:pStyle w:val="Heading1"/>
        <w:spacing w:after="180" w:before="360"/>
      </w:pPr>
      <w:r>
        <w:t xml:space="preserve">7.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Open Question (from SRS v1.0 App. C)</w:t>
            </w:r>
          </w:p>
        </w:tc>
        <w:tc>
          <w:tcPr>
            <w:tcW w:type="dxa" w:w="67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Resolution</w:t>
            </w:r>
          </w:p>
        </w:tc>
      </w:tr>
      <w:tr>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Distributor</w:t>
            </w:r>
          </w:p>
        </w:tc>
        <w:tc>
          <w:tcPr>
            <w:tcW w:type="dxa" w:w="6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DistroKid — Musician Plus (1 alias) or Professional (up to 5 aliases). Professional recommended if both DJ KoFAi and DJ CyStorm go to DSPs in year 1.</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Producer.ai TOS</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Producer.ai is a Google product. Commercial-rights terms must be confirmed directly from the Song Usage policy before any Producer.ai track advances past S2. Until confirmed, all Producer.ai tracks are AMBIGUOUS and quarantined.</w:t>
            </w:r>
          </w:p>
        </w:tc>
      </w:tr>
      <w:tr>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PRO</w:t>
            </w:r>
          </w:p>
        </w:tc>
        <w:tc>
          <w:tcPr>
            <w:tcW w:type="dxa" w:w="6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Dual registration: GHAMRO (Ghana) + ASCAP (USA). PRS for Music deferred to year 2.</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Hosting</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Dedicated DigitalOcean droplet at patois.techbridge.edu.gh. Premium AMD 4/8/160 for ingest phase, resize to Basic 2/4/80 for steady state. DigitalOcean Spaces for cold-storage backup.</w:t>
            </w:r>
          </w:p>
        </w:tc>
      </w:tr>
      <w:tr>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Backend runtime</w:t>
            </w:r>
          </w:p>
        </w:tc>
        <w:tc>
          <w:tcPr>
            <w:tcW w:type="dxa" w:w="6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Node.js 20 LTS + Fastify 4.x for API; BullMQ workers for jobs. Java 21 / Spring Boot deferred.</w:t>
            </w:r>
          </w:p>
        </w:tc>
      </w:tr>
    </w:tbl>
    <w:p>
      <w:pPr>
        <w:pStyle w:val="Heading2"/>
        <w:spacing w:after="140" w:before="280"/>
      </w:pPr>
      <w:r>
        <w:t xml:space="preserve">7.1 Impact on Parent SRS</w:t>
      </w:r>
    </w:p>
    <w:p>
      <w:pPr>
        <w:spacing w:after="120"/>
      </w:pPr>
      <w:r>
        <w:t xml:space="preserve">The following parent-SRS sections are amended by this addendum and should be updated in SRS v2.0:</w:t>
      </w:r>
    </w:p>
    <w:p>
      <w:pPr>
        <w:pStyle w:val="ListParagraph"/>
        <w:numPr>
          <w:ilvl w:val="0"/>
          <w:numId w:val="2"/>
        </w:numPr>
        <w:spacing w:after="80"/>
      </w:pPr>
      <w:r>
        <w:t xml:space="preserve">§2.4 Operating Environment — add DigitalOcean droplet specification; remove Plesk as primary host</w:t>
      </w:r>
    </w:p>
    <w:p>
      <w:pPr>
        <w:pStyle w:val="ListParagraph"/>
        <w:numPr>
          <w:ilvl w:val="0"/>
          <w:numId w:val="2"/>
        </w:numPr>
        <w:spacing w:after="80"/>
      </w:pPr>
      <w:r>
        <w:t xml:space="preserve">§3.3 Technology Stack — confirm Fastify specifically; remove 'or Spring Boot' ambiguity</w:t>
      </w:r>
    </w:p>
    <w:p>
      <w:pPr>
        <w:pStyle w:val="ListParagraph"/>
        <w:numPr>
          <w:ilvl w:val="0"/>
          <w:numId w:val="2"/>
        </w:numPr>
        <w:spacing w:after="80"/>
      </w:pPr>
      <w:r>
        <w:t xml:space="preserve">§4.1.2 FR-2 Rights Audit — add Producer.ai-specific AMBIGUOUS default rule</w:t>
      </w:r>
    </w:p>
    <w:p>
      <w:pPr>
        <w:pStyle w:val="ListParagraph"/>
        <w:numPr>
          <w:ilvl w:val="0"/>
          <w:numId w:val="2"/>
        </w:numPr>
        <w:spacing w:after="80"/>
      </w:pPr>
      <w:r>
        <w:t xml:space="preserve">Appendix B — replace 90-day roadmap with the refined version in §6 of this addendum</w:t>
      </w:r>
    </w:p>
    <w:p>
      <w:pPr>
        <w:pStyle w:val="ListParagraph"/>
        <w:numPr>
          <w:ilvl w:val="0"/>
          <w:numId w:val="2"/>
        </w:numPr>
        <w:spacing w:after="80"/>
      </w:pPr>
      <w:r>
        <w:t xml:space="preserve">Appendix C — remove all five resolved open questions; add any new ones surfaced during implementation</w:t>
      </w:r>
    </w:p>
    <w:p>
      <w:pPr>
        <w:spacing w:before="600"/>
        <w:jc w:val="center"/>
      </w:pPr>
      <w:r>
        <w:rPr>
          <w:i/>
          <w:iCs/>
          <w:color w:val="888888"/>
        </w:rPr>
        <w:t xml:space="preserve">— End of Addendum A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TUC-ICT-SRS-2026-PLCRP-001-ADD-A — Decision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A8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A88"/>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PLCRP SRS Addendum A — Decision Record</dc:title>
  <dc:creator>Daniel F. Twum / Claude</dc:creator>
  <dc:description>Distributor, TOS, PRO, Hosting, Runtime decisions</dc:description>
  <cp:lastModifiedBy>Un-named</cp:lastModifiedBy>
  <cp:revision>1</cp:revision>
  <dcterms:created xsi:type="dcterms:W3CDTF">2026-04-20T18:59:41.512Z</dcterms:created>
  <dcterms:modified xsi:type="dcterms:W3CDTF">2026-04-20T18:59:41.513Z</dcterms:modified>
</cp:coreProperties>
</file>

<file path=docProps/custom.xml><?xml version="1.0" encoding="utf-8"?>
<Properties xmlns="http://schemas.openxmlformats.org/officeDocument/2006/custom-properties" xmlns:vt="http://schemas.openxmlformats.org/officeDocument/2006/docPropsVTypes"/>
</file>