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pPr>
      <w:r w:rsidDel="00000000" w:rsidR="00000000" w:rsidRPr="00000000">
        <w:rPr>
          <w:rFonts w:ascii="Calibri" w:cs="Calibri" w:eastAsia="Calibri" w:hAnsi="Calibri"/>
          <w:b w:val="1"/>
          <w:bCs w:val="1"/>
          <w:color w:val="1f3864"/>
          <w:sz w:val="32"/>
          <w:szCs w:val="32"/>
          <w:rtl w:val="0"/>
        </w:rPr>
        <w:t xml:space="preserve">FRAUD REPORT SUMMARY</w:t>
      </w:r>
      <w:r w:rsidDel="00000000" w:rsidR="00000000" w:rsidRPr="00000000">
        <w:rPr>
          <w:rtl w:val="0"/>
        </w:rPr>
      </w:r>
    </w:p>
    <w:p w:rsidR="00000000" w:rsidDel="00000000" w:rsidP="00000000" w:rsidRDefault="00000000" w:rsidRPr="00000000" w14:paraId="00000002">
      <w:pPr>
        <w:spacing w:after="240" w:lineRule="auto"/>
        <w:jc w:val="center"/>
        <w:rPr/>
      </w:pPr>
      <w:r w:rsidDel="00000000" w:rsidR="00000000" w:rsidRPr="00000000">
        <w:rPr>
          <w:rFonts w:ascii="Calibri" w:cs="Calibri" w:eastAsia="Calibri" w:hAnsi="Calibri"/>
          <w:i w:val="1"/>
          <w:iCs w:val="1"/>
          <w:sz w:val="22"/>
          <w:szCs w:val="22"/>
          <w:rtl w:val="0"/>
        </w:rPr>
        <w:t xml:space="preserve">Suspected fraudulent SWIFT MT760 / Standby Letter of Credit misusing the name of Barclays Bank PLC</w:t>
      </w:r>
      <w:r w:rsidDel="00000000" w:rsidR="00000000" w:rsidRPr="00000000">
        <w:rPr>
          <w:rtl w:val="0"/>
        </w:rPr>
      </w:r>
    </w:p>
    <w:p w:rsidR="00000000" w:rsidDel="00000000" w:rsidP="00000000" w:rsidRDefault="00000000" w:rsidRPr="00000000" w14:paraId="00000003">
      <w:pPr>
        <w:spacing w:after="160" w:line="276" w:lineRule="auto"/>
        <w:rPr/>
      </w:pPr>
      <w:r w:rsidDel="00000000" w:rsidR="00000000" w:rsidRPr="00000000">
        <w:rPr>
          <w:rFonts w:ascii="Calibri" w:cs="Calibri" w:eastAsia="Calibri" w:hAnsi="Calibri"/>
          <w:sz w:val="22"/>
          <w:szCs w:val="22"/>
          <w:rtl w:val="0"/>
        </w:rPr>
        <w:t xml:space="preserve">Prepared by: [Name, position, organisation]</w:t>
      </w:r>
      <w:r w:rsidDel="00000000" w:rsidR="00000000" w:rsidRPr="00000000">
        <w:rPr>
          <w:rtl w:val="0"/>
        </w:rPr>
      </w:r>
    </w:p>
    <w:p w:rsidR="00000000" w:rsidDel="00000000" w:rsidP="00000000" w:rsidRDefault="00000000" w:rsidRPr="00000000" w14:paraId="00000004">
      <w:pPr>
        <w:spacing w:after="160" w:line="276" w:lineRule="auto"/>
        <w:rPr/>
      </w:pPr>
      <w:r w:rsidDel="00000000" w:rsidR="00000000" w:rsidRPr="00000000">
        <w:rPr>
          <w:rFonts w:ascii="Calibri" w:cs="Calibri" w:eastAsia="Calibri" w:hAnsi="Calibri"/>
          <w:sz w:val="22"/>
          <w:szCs w:val="22"/>
          <w:rtl w:val="0"/>
        </w:rPr>
        <w:t xml:space="preserve">Contact: [Email] · [Telephone]</w:t>
      </w:r>
      <w:r w:rsidDel="00000000" w:rsidR="00000000" w:rsidRPr="00000000">
        <w:rPr>
          <w:rtl w:val="0"/>
        </w:rPr>
      </w:r>
    </w:p>
    <w:p w:rsidR="00000000" w:rsidDel="00000000" w:rsidP="00000000" w:rsidRDefault="00000000" w:rsidRPr="00000000" w14:paraId="00000005">
      <w:pPr>
        <w:spacing w:after="160" w:line="276" w:lineRule="auto"/>
        <w:rPr/>
      </w:pPr>
      <w:r w:rsidDel="00000000" w:rsidR="00000000" w:rsidRPr="00000000">
        <w:rPr>
          <w:rFonts w:ascii="Calibri" w:cs="Calibri" w:eastAsia="Calibri" w:hAnsi="Calibri"/>
          <w:sz w:val="22"/>
          <w:szCs w:val="22"/>
          <w:rtl w:val="0"/>
        </w:rPr>
        <w:t xml:space="preserve">Date: [Date]</w:t>
      </w:r>
      <w:r w:rsidDel="00000000" w:rsidR="00000000" w:rsidRPr="00000000">
        <w:rPr>
          <w:rtl w:val="0"/>
        </w:rPr>
      </w:r>
    </w:p>
    <w:p w:rsidR="00000000" w:rsidDel="00000000" w:rsidP="00000000" w:rsidRDefault="00000000" w:rsidRPr="00000000" w14:paraId="00000006">
      <w:pPr>
        <w:spacing w:after="160" w:line="276" w:lineRule="auto"/>
        <w:rPr/>
      </w:pPr>
      <w:r w:rsidDel="00000000" w:rsidR="00000000" w:rsidRPr="00000000">
        <w:rPr>
          <w:rFonts w:ascii="Calibri" w:cs="Calibri" w:eastAsia="Calibri" w:hAnsi="Calibri"/>
          <w:sz w:val="22"/>
          <w:szCs w:val="22"/>
          <w:rtl w:val="0"/>
        </w:rPr>
        <w:t xml:space="preserve">Intended recipients: Barclays Bank PLC — Fraud Reporting; Standard Chartered Bank Ghana Limited — Fraud Risk; Economic and Organised Crime Office (EOCO), Ghana; [Ghana Police Service — Cybercrime/Commercial Crime Unit, as applicable]</w:t>
      </w:r>
      <w:r w:rsidDel="00000000" w:rsidR="00000000" w:rsidRPr="00000000">
        <w:rPr>
          <w:rtl w:val="0"/>
        </w:rPr>
      </w:r>
    </w:p>
    <w:p w:rsidR="00000000" w:rsidDel="00000000" w:rsidP="00000000" w:rsidRDefault="00000000" w:rsidRPr="00000000" w14:paraId="00000007">
      <w:pPr>
        <w:pStyle w:val="Heading1"/>
        <w:spacing w:after="160" w:before="240" w:lineRule="auto"/>
        <w:rPr/>
      </w:pPr>
      <w:r w:rsidDel="00000000" w:rsidR="00000000" w:rsidRPr="00000000">
        <w:rPr>
          <w:rFonts w:ascii="Calibri" w:cs="Calibri" w:eastAsia="Calibri" w:hAnsi="Calibri"/>
          <w:b w:val="1"/>
          <w:bCs w:val="1"/>
          <w:color w:val="1f3864"/>
          <w:sz w:val="26"/>
          <w:szCs w:val="26"/>
          <w:rtl w:val="0"/>
        </w:rPr>
        <w:t xml:space="preserve">1. Purpose</w:t>
      </w:r>
      <w:r w:rsidDel="00000000" w:rsidR="00000000" w:rsidRPr="00000000">
        <w:rPr>
          <w:rtl w:val="0"/>
        </w:rPr>
      </w:r>
    </w:p>
    <w:p w:rsidR="00000000" w:rsidDel="00000000" w:rsidP="00000000" w:rsidRDefault="00000000" w:rsidRPr="00000000" w14:paraId="00000008">
      <w:pPr>
        <w:spacing w:after="160" w:line="276" w:lineRule="auto"/>
        <w:rPr/>
      </w:pPr>
      <w:r w:rsidDel="00000000" w:rsidR="00000000" w:rsidRPr="00000000">
        <w:rPr>
          <w:rFonts w:ascii="Calibri" w:cs="Calibri" w:eastAsia="Calibri" w:hAnsi="Calibri"/>
          <w:sz w:val="22"/>
          <w:szCs w:val="22"/>
          <w:rtl w:val="0"/>
        </w:rPr>
        <w:t xml:space="preserve">This report notifies the recipients of a document in circulation that purports to be an authenticated SWIFT MT760 standby letter of credit issued by Barclays Bank PLC in favour of a Ghanaian beneficiary. On examination, the document exhibits the standard characteristics of a fabricated banking instrument of the type used in advance-fee and trade (gold/minerals) fraud. It is submitted so that the institutions named on it are aware of the misuse of their names and SWIFT codes, and so that the matter may be investigated as appropriate.</w:t>
      </w:r>
      <w:r w:rsidDel="00000000" w:rsidR="00000000" w:rsidRPr="00000000">
        <w:rPr>
          <w:rtl w:val="0"/>
        </w:rPr>
      </w:r>
    </w:p>
    <w:p w:rsidR="00000000" w:rsidDel="00000000" w:rsidP="00000000" w:rsidRDefault="00000000" w:rsidRPr="00000000" w14:paraId="00000009">
      <w:pPr>
        <w:pStyle w:val="Heading1"/>
        <w:spacing w:after="160" w:before="240" w:lineRule="auto"/>
        <w:rPr/>
      </w:pPr>
      <w:r w:rsidDel="00000000" w:rsidR="00000000" w:rsidRPr="00000000">
        <w:rPr>
          <w:rFonts w:ascii="Calibri" w:cs="Calibri" w:eastAsia="Calibri" w:hAnsi="Calibri"/>
          <w:b w:val="1"/>
          <w:bCs w:val="1"/>
          <w:color w:val="1f3864"/>
          <w:sz w:val="26"/>
          <w:szCs w:val="26"/>
          <w:rtl w:val="0"/>
        </w:rPr>
        <w:t xml:space="preserve">2. Particulars of the document</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24"/>
        <w:gridCol w:w="6336"/>
        <w:tblGridChange w:id="0">
          <w:tblGrid>
            <w:gridCol w:w="3024"/>
            <w:gridCol w:w="6336"/>
          </w:tblGrid>
        </w:tblGridChange>
      </w:tblGrid>
      <w:tr>
        <w:trPr>
          <w:cantSplit w:val="0"/>
          <w:tblHeader w:val="0"/>
        </w:trPr>
        <w:tc>
          <w:tcPr>
            <w:shd w:fill="edf0f5" w:val="clear"/>
            <w:tcMar>
              <w:top w:w="80.0" w:type="dxa"/>
              <w:left w:w="120.0" w:type="dxa"/>
              <w:bottom w:w="80.0" w:type="dxa"/>
              <w:right w:w="120.0" w:type="dxa"/>
            </w:tcMar>
          </w:tcPr>
          <w:p w:rsidR="00000000" w:rsidDel="00000000" w:rsidP="00000000" w:rsidRDefault="00000000" w:rsidRPr="00000000" w14:paraId="0000000A">
            <w:pPr>
              <w:spacing w:after="0" w:lineRule="auto"/>
              <w:rPr/>
            </w:pPr>
            <w:r w:rsidDel="00000000" w:rsidR="00000000" w:rsidRPr="00000000">
              <w:rPr>
                <w:rFonts w:ascii="Calibri" w:cs="Calibri" w:eastAsia="Calibri" w:hAnsi="Calibri"/>
                <w:b w:val="1"/>
                <w:bCs w:val="1"/>
                <w:sz w:val="20"/>
                <w:szCs w:val="20"/>
                <w:rtl w:val="0"/>
              </w:rPr>
              <w:t xml:space="preserve">Document type presented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0B">
            <w:pPr>
              <w:spacing w:after="0" w:lineRule="auto"/>
              <w:rPr/>
            </w:pPr>
            <w:r w:rsidDel="00000000" w:rsidR="00000000" w:rsidRPr="00000000">
              <w:rPr>
                <w:rFonts w:ascii="Calibri" w:cs="Calibri" w:eastAsia="Calibri" w:hAnsi="Calibri"/>
                <w:sz w:val="20"/>
                <w:szCs w:val="20"/>
                <w:rtl w:val="0"/>
              </w:rPr>
              <w:t xml:space="preserve">PDF styled as a SWIFT MT760 (Guarantee / Standby Letter of Credit) “Message Reader” printout, marked “DRAFT” and “FOR BANK VALIDATION ONLY”</w:t>
            </w:r>
            <w:r w:rsidDel="00000000" w:rsidR="00000000" w:rsidRPr="00000000">
              <w:rPr>
                <w:rtl w:val="0"/>
              </w:rPr>
            </w:r>
          </w:p>
        </w:tc>
      </w:tr>
      <w:tr>
        <w:trPr>
          <w:cantSplit w:val="0"/>
          <w:tblHeader w:val="0"/>
        </w:trPr>
        <w:tc>
          <w:tcPr>
            <w:shd w:fill="edf0f5" w:val="clear"/>
            <w:tcMar>
              <w:top w:w="80.0" w:type="dxa"/>
              <w:left w:w="120.0" w:type="dxa"/>
              <w:bottom w:w="80.0" w:type="dxa"/>
              <w:right w:w="120.0" w:type="dxa"/>
            </w:tcMar>
          </w:tcPr>
          <w:p w:rsidR="00000000" w:rsidDel="00000000" w:rsidP="00000000" w:rsidRDefault="00000000" w:rsidRPr="00000000" w14:paraId="0000000C">
            <w:pPr>
              <w:spacing w:after="0" w:lineRule="auto"/>
              <w:rPr/>
            </w:pPr>
            <w:r w:rsidDel="00000000" w:rsidR="00000000" w:rsidRPr="00000000">
              <w:rPr>
                <w:rFonts w:ascii="Calibri" w:cs="Calibri" w:eastAsia="Calibri" w:hAnsi="Calibri"/>
                <w:b w:val="1"/>
                <w:bCs w:val="1"/>
                <w:sz w:val="20"/>
                <w:szCs w:val="20"/>
                <w:rtl w:val="0"/>
              </w:rPr>
              <w:t xml:space="preserve">Purported issuer</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0D">
            <w:pPr>
              <w:spacing w:after="0" w:lineRule="auto"/>
              <w:rPr/>
            </w:pPr>
            <w:r w:rsidDel="00000000" w:rsidR="00000000" w:rsidRPr="00000000">
              <w:rPr>
                <w:rFonts w:ascii="Calibri" w:cs="Calibri" w:eastAsia="Calibri" w:hAnsi="Calibri"/>
                <w:sz w:val="20"/>
                <w:szCs w:val="20"/>
                <w:rtl w:val="0"/>
              </w:rPr>
              <w:t xml:space="preserve">Barclays Bank PLC, 1 Churchill Place, Canary Wharf, London E14 5HP (SWIFT: BARCGB22XXX)</w:t>
            </w:r>
            <w:r w:rsidDel="00000000" w:rsidR="00000000" w:rsidRPr="00000000">
              <w:rPr>
                <w:rtl w:val="0"/>
              </w:rPr>
            </w:r>
          </w:p>
        </w:tc>
      </w:tr>
      <w:tr>
        <w:trPr>
          <w:cantSplit w:val="0"/>
          <w:tblHeader w:val="0"/>
        </w:trPr>
        <w:tc>
          <w:tcPr>
            <w:shd w:fill="edf0f5" w:val="clear"/>
            <w:tcMar>
              <w:top w:w="80.0" w:type="dxa"/>
              <w:left w:w="120.0" w:type="dxa"/>
              <w:bottom w:w="80.0" w:type="dxa"/>
              <w:right w:w="120.0" w:type="dxa"/>
            </w:tcMar>
          </w:tcPr>
          <w:p w:rsidR="00000000" w:rsidDel="00000000" w:rsidP="00000000" w:rsidRDefault="00000000" w:rsidRPr="00000000" w14:paraId="0000000E">
            <w:pPr>
              <w:spacing w:after="0" w:lineRule="auto"/>
              <w:rPr/>
            </w:pPr>
            <w:r w:rsidDel="00000000" w:rsidR="00000000" w:rsidRPr="00000000">
              <w:rPr>
                <w:rFonts w:ascii="Calibri" w:cs="Calibri" w:eastAsia="Calibri" w:hAnsi="Calibri"/>
                <w:b w:val="1"/>
                <w:bCs w:val="1"/>
                <w:sz w:val="20"/>
                <w:szCs w:val="20"/>
                <w:rtl w:val="0"/>
              </w:rPr>
              <w:t xml:space="preserve">Purported advising bank</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0F">
            <w:pPr>
              <w:spacing w:after="0" w:lineRule="auto"/>
              <w:rPr/>
            </w:pPr>
            <w:r w:rsidDel="00000000" w:rsidR="00000000" w:rsidRPr="00000000">
              <w:rPr>
                <w:rFonts w:ascii="Calibri" w:cs="Calibri" w:eastAsia="Calibri" w:hAnsi="Calibri"/>
                <w:sz w:val="20"/>
                <w:szCs w:val="20"/>
                <w:rtl w:val="0"/>
              </w:rPr>
              <w:t xml:space="preserve">Standard Chartered Bank Ghana Limited, Standard Chartered Tower, Independence Avenue, Accra (SWIFT: SCBLGHACXXX)</w:t>
            </w:r>
            <w:r w:rsidDel="00000000" w:rsidR="00000000" w:rsidRPr="00000000">
              <w:rPr>
                <w:rtl w:val="0"/>
              </w:rPr>
            </w:r>
          </w:p>
        </w:tc>
      </w:tr>
      <w:tr>
        <w:trPr>
          <w:cantSplit w:val="0"/>
          <w:tblHeader w:val="0"/>
        </w:trPr>
        <w:tc>
          <w:tcPr>
            <w:shd w:fill="edf0f5" w:val="clear"/>
            <w:tcMar>
              <w:top w:w="80.0" w:type="dxa"/>
              <w:left w:w="120.0" w:type="dxa"/>
              <w:bottom w:w="80.0" w:type="dxa"/>
              <w:right w:w="120.0" w:type="dxa"/>
            </w:tcMar>
          </w:tcPr>
          <w:p w:rsidR="00000000" w:rsidDel="00000000" w:rsidP="00000000" w:rsidRDefault="00000000" w:rsidRPr="00000000" w14:paraId="00000010">
            <w:pPr>
              <w:spacing w:after="0" w:lineRule="auto"/>
              <w:rPr/>
            </w:pPr>
            <w:r w:rsidDel="00000000" w:rsidR="00000000" w:rsidRPr="00000000">
              <w:rPr>
                <w:rFonts w:ascii="Calibri" w:cs="Calibri" w:eastAsia="Calibri" w:hAnsi="Calibri"/>
                <w:b w:val="1"/>
                <w:bCs w:val="1"/>
                <w:sz w:val="20"/>
                <w:szCs w:val="20"/>
                <w:rtl w:val="0"/>
              </w:rPr>
              <w:t xml:space="preserve">Named applicant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1">
            <w:pPr>
              <w:spacing w:after="0" w:lineRule="auto"/>
              <w:rPr/>
            </w:pPr>
            <w:r w:rsidDel="00000000" w:rsidR="00000000" w:rsidRPr="00000000">
              <w:rPr>
                <w:rFonts w:ascii="Calibri" w:cs="Calibri" w:eastAsia="Calibri" w:hAnsi="Calibri"/>
                <w:sz w:val="20"/>
                <w:szCs w:val="20"/>
                <w:rtl w:val="0"/>
              </w:rPr>
              <w:t xml:space="preserve">M AND HSN DMCC, Unit 3W-08-03, Jewellery &amp; Gemplex 3, Dubai, UAE (Licence DMCC-950727; Reg DMCC200259); contact named as Mr Mehrdad Gardoonfar, Company Manager</w:t>
            </w:r>
            <w:r w:rsidDel="00000000" w:rsidR="00000000" w:rsidRPr="00000000">
              <w:rPr>
                <w:rtl w:val="0"/>
              </w:rPr>
            </w:r>
          </w:p>
        </w:tc>
      </w:tr>
      <w:tr>
        <w:trPr>
          <w:cantSplit w:val="0"/>
          <w:tblHeader w:val="0"/>
        </w:trPr>
        <w:tc>
          <w:tcPr>
            <w:shd w:fill="edf0f5" w:val="clear"/>
            <w:tcMar>
              <w:top w:w="80.0" w:type="dxa"/>
              <w:left w:w="120.0" w:type="dxa"/>
              <w:bottom w:w="80.0" w:type="dxa"/>
              <w:right w:w="120.0" w:type="dxa"/>
            </w:tcMar>
          </w:tcPr>
          <w:p w:rsidR="00000000" w:rsidDel="00000000" w:rsidP="00000000" w:rsidRDefault="00000000" w:rsidRPr="00000000" w14:paraId="00000012">
            <w:pPr>
              <w:spacing w:after="0" w:lineRule="auto"/>
              <w:rPr/>
            </w:pPr>
            <w:r w:rsidDel="00000000" w:rsidR="00000000" w:rsidRPr="00000000">
              <w:rPr>
                <w:rFonts w:ascii="Calibri" w:cs="Calibri" w:eastAsia="Calibri" w:hAnsi="Calibri"/>
                <w:b w:val="1"/>
                <w:bCs w:val="1"/>
                <w:sz w:val="20"/>
                <w:szCs w:val="20"/>
                <w:rtl w:val="0"/>
              </w:rPr>
              <w:t xml:space="preserve">Named beneficiary</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3">
            <w:pPr>
              <w:spacing w:after="0" w:lineRule="auto"/>
              <w:rPr/>
            </w:pPr>
            <w:r w:rsidDel="00000000" w:rsidR="00000000" w:rsidRPr="00000000">
              <w:rPr>
                <w:rFonts w:ascii="Calibri" w:cs="Calibri" w:eastAsia="Calibri" w:hAnsi="Calibri"/>
                <w:sz w:val="20"/>
                <w:szCs w:val="20"/>
                <w:rtl w:val="0"/>
              </w:rPr>
              <w:t xml:space="preserve">Asanska Minerals Limited, Asanska House, No. 648/4 Royalt Castle Road, Kokomlemle, Accra-North, Ghana; account no. 8700202448801</w:t>
            </w:r>
            <w:r w:rsidDel="00000000" w:rsidR="00000000" w:rsidRPr="00000000">
              <w:rPr>
                <w:rtl w:val="0"/>
              </w:rPr>
            </w:r>
          </w:p>
        </w:tc>
      </w:tr>
      <w:tr>
        <w:trPr>
          <w:cantSplit w:val="0"/>
          <w:tblHeader w:val="0"/>
        </w:trPr>
        <w:tc>
          <w:tcPr>
            <w:shd w:fill="edf0f5" w:val="clear"/>
            <w:tcMar>
              <w:top w:w="80.0" w:type="dxa"/>
              <w:left w:w="120.0" w:type="dxa"/>
              <w:bottom w:w="80.0" w:type="dxa"/>
              <w:right w:w="120.0" w:type="dxa"/>
            </w:tcMar>
          </w:tcPr>
          <w:p w:rsidR="00000000" w:rsidDel="00000000" w:rsidP="00000000" w:rsidRDefault="00000000" w:rsidRPr="00000000" w14:paraId="00000014">
            <w:pPr>
              <w:spacing w:after="0" w:lineRule="auto"/>
              <w:rPr/>
            </w:pPr>
            <w:r w:rsidDel="00000000" w:rsidR="00000000" w:rsidRPr="00000000">
              <w:rPr>
                <w:rFonts w:ascii="Calibri" w:cs="Calibri" w:eastAsia="Calibri" w:hAnsi="Calibri"/>
                <w:b w:val="1"/>
                <w:bCs w:val="1"/>
                <w:sz w:val="20"/>
                <w:szCs w:val="20"/>
                <w:rtl w:val="0"/>
              </w:rPr>
              <w:t xml:space="preserve">Stated amount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5">
            <w:pPr>
              <w:spacing w:after="0" w:lineRule="auto"/>
              <w:rPr/>
            </w:pPr>
            <w:r w:rsidDel="00000000" w:rsidR="00000000" w:rsidRPr="00000000">
              <w:rPr>
                <w:rFonts w:ascii="Calibri" w:cs="Calibri" w:eastAsia="Calibri" w:hAnsi="Calibri"/>
                <w:sz w:val="20"/>
                <w:szCs w:val="20"/>
                <w:rtl w:val="0"/>
              </w:rPr>
              <w:t xml:space="preserve">USD 10,000,000.00</w:t>
            </w:r>
            <w:r w:rsidDel="00000000" w:rsidR="00000000" w:rsidRPr="00000000">
              <w:rPr>
                <w:rtl w:val="0"/>
              </w:rPr>
            </w:r>
          </w:p>
        </w:tc>
      </w:tr>
      <w:tr>
        <w:trPr>
          <w:cantSplit w:val="0"/>
          <w:tblHeader w:val="0"/>
        </w:trPr>
        <w:tc>
          <w:tcPr>
            <w:shd w:fill="edf0f5" w:val="clear"/>
            <w:tcMar>
              <w:top w:w="80.0" w:type="dxa"/>
              <w:left w:w="120.0" w:type="dxa"/>
              <w:bottom w:w="80.0" w:type="dxa"/>
              <w:right w:w="120.0" w:type="dxa"/>
            </w:tcMar>
          </w:tcPr>
          <w:p w:rsidR="00000000" w:rsidDel="00000000" w:rsidP="00000000" w:rsidRDefault="00000000" w:rsidRPr="00000000" w14:paraId="00000016">
            <w:pPr>
              <w:spacing w:after="0" w:lineRule="auto"/>
              <w:rPr/>
            </w:pPr>
            <w:r w:rsidDel="00000000" w:rsidR="00000000" w:rsidRPr="00000000">
              <w:rPr>
                <w:rFonts w:ascii="Calibri" w:cs="Calibri" w:eastAsia="Calibri" w:hAnsi="Calibri"/>
                <w:b w:val="1"/>
                <w:bCs w:val="1"/>
                <w:sz w:val="20"/>
                <w:szCs w:val="20"/>
                <w:rtl w:val="0"/>
              </w:rPr>
              <w:t xml:space="preserve">Transaction reference (field 20)</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7">
            <w:pPr>
              <w:spacing w:after="0" w:lineRule="auto"/>
              <w:rPr/>
            </w:pPr>
            <w:r w:rsidDel="00000000" w:rsidR="00000000" w:rsidRPr="00000000">
              <w:rPr>
                <w:rFonts w:ascii="Calibri" w:cs="Calibri" w:eastAsia="Calibri" w:hAnsi="Calibri"/>
                <w:sz w:val="20"/>
                <w:szCs w:val="20"/>
                <w:rtl w:val="0"/>
              </w:rPr>
              <w:t xml:space="preserve">BPU/BARCLAYS/SCBLGHAC/ACCRA/202660422/2026</w:t>
            </w:r>
            <w:r w:rsidDel="00000000" w:rsidR="00000000" w:rsidRPr="00000000">
              <w:rPr>
                <w:rtl w:val="0"/>
              </w:rPr>
            </w:r>
          </w:p>
        </w:tc>
      </w:tr>
      <w:tr>
        <w:trPr>
          <w:cantSplit w:val="0"/>
          <w:tblHeader w:val="0"/>
        </w:trPr>
        <w:tc>
          <w:tcPr>
            <w:shd w:fill="edf0f5" w:val="clear"/>
            <w:tcMar>
              <w:top w:w="80.0" w:type="dxa"/>
              <w:left w:w="120.0" w:type="dxa"/>
              <w:bottom w:w="80.0" w:type="dxa"/>
              <w:right w:w="120.0" w:type="dxa"/>
            </w:tcMar>
          </w:tcPr>
          <w:p w:rsidR="00000000" w:rsidDel="00000000" w:rsidP="00000000" w:rsidRDefault="00000000" w:rsidRPr="00000000" w14:paraId="00000018">
            <w:pPr>
              <w:spacing w:after="0" w:lineRule="auto"/>
              <w:rPr/>
            </w:pPr>
            <w:r w:rsidDel="00000000" w:rsidR="00000000" w:rsidRPr="00000000">
              <w:rPr>
                <w:rFonts w:ascii="Calibri" w:cs="Calibri" w:eastAsia="Calibri" w:hAnsi="Calibri"/>
                <w:b w:val="1"/>
                <w:bCs w:val="1"/>
                <w:sz w:val="20"/>
                <w:szCs w:val="20"/>
                <w:rtl w:val="0"/>
              </w:rPr>
              <w:t xml:space="preserve">Related reference (field 21)</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9">
            <w:pPr>
              <w:spacing w:after="0" w:lineRule="auto"/>
              <w:rPr/>
            </w:pPr>
            <w:r w:rsidDel="00000000" w:rsidR="00000000" w:rsidRPr="00000000">
              <w:rPr>
                <w:rFonts w:ascii="Calibri" w:cs="Calibri" w:eastAsia="Calibri" w:hAnsi="Calibri"/>
                <w:sz w:val="20"/>
                <w:szCs w:val="20"/>
                <w:rtl w:val="0"/>
              </w:rPr>
              <w:t xml:space="preserve">Purported MT799 ref 02-2026-6729</w:t>
            </w:r>
            <w:r w:rsidDel="00000000" w:rsidR="00000000" w:rsidRPr="00000000">
              <w:rPr>
                <w:rtl w:val="0"/>
              </w:rPr>
            </w:r>
          </w:p>
        </w:tc>
      </w:tr>
      <w:tr>
        <w:trPr>
          <w:cantSplit w:val="0"/>
          <w:tblHeader w:val="0"/>
        </w:trPr>
        <w:tc>
          <w:tcPr>
            <w:shd w:fill="edf0f5" w:val="clear"/>
            <w:tcMar>
              <w:top w:w="80.0" w:type="dxa"/>
              <w:left w:w="120.0" w:type="dxa"/>
              <w:bottom w:w="80.0" w:type="dxa"/>
              <w:right w:w="120.0" w:type="dxa"/>
            </w:tcMar>
          </w:tcPr>
          <w:p w:rsidR="00000000" w:rsidDel="00000000" w:rsidP="00000000" w:rsidRDefault="00000000" w:rsidRPr="00000000" w14:paraId="0000001A">
            <w:pPr>
              <w:spacing w:after="0" w:lineRule="auto"/>
              <w:rPr/>
            </w:pPr>
            <w:r w:rsidDel="00000000" w:rsidR="00000000" w:rsidRPr="00000000">
              <w:rPr>
                <w:rFonts w:ascii="Calibri" w:cs="Calibri" w:eastAsia="Calibri" w:hAnsi="Calibri"/>
                <w:b w:val="1"/>
                <w:bCs w:val="1"/>
                <w:sz w:val="20"/>
                <w:szCs w:val="20"/>
                <w:rtl w:val="0"/>
              </w:rPr>
              <w:t xml:space="preserve">Stated date of issue / expiry</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B">
            <w:pPr>
              <w:spacing w:after="0" w:lineRule="auto"/>
              <w:rPr/>
            </w:pPr>
            <w:r w:rsidDel="00000000" w:rsidR="00000000" w:rsidRPr="00000000">
              <w:rPr>
                <w:rFonts w:ascii="Calibri" w:cs="Calibri" w:eastAsia="Calibri" w:hAnsi="Calibri"/>
                <w:sz w:val="20"/>
                <w:szCs w:val="20"/>
                <w:rtl w:val="0"/>
              </w:rPr>
              <w:t xml:space="preserve">24 June 2026 / 23 June 2027</w:t>
            </w:r>
            <w:r w:rsidDel="00000000" w:rsidR="00000000" w:rsidRPr="00000000">
              <w:rPr>
                <w:rtl w:val="0"/>
              </w:rPr>
            </w:r>
          </w:p>
        </w:tc>
      </w:tr>
      <w:tr>
        <w:trPr>
          <w:cantSplit w:val="0"/>
          <w:tblHeader w:val="0"/>
        </w:trPr>
        <w:tc>
          <w:tcPr>
            <w:shd w:fill="edf0f5" w:val="clear"/>
            <w:tcMar>
              <w:top w:w="80.0" w:type="dxa"/>
              <w:left w:w="120.0" w:type="dxa"/>
              <w:bottom w:w="80.0" w:type="dxa"/>
              <w:right w:w="120.0" w:type="dxa"/>
            </w:tcMar>
          </w:tcPr>
          <w:p w:rsidR="00000000" w:rsidDel="00000000" w:rsidP="00000000" w:rsidRDefault="00000000" w:rsidRPr="00000000" w14:paraId="0000001C">
            <w:pPr>
              <w:spacing w:after="0" w:lineRule="auto"/>
              <w:rPr/>
            </w:pPr>
            <w:r w:rsidDel="00000000" w:rsidR="00000000" w:rsidRPr="00000000">
              <w:rPr>
                <w:rFonts w:ascii="Calibri" w:cs="Calibri" w:eastAsia="Calibri" w:hAnsi="Calibri"/>
                <w:b w:val="1"/>
                <w:bCs w:val="1"/>
                <w:sz w:val="20"/>
                <w:szCs w:val="20"/>
                <w:rtl w:val="0"/>
              </w:rPr>
              <w:t xml:space="preserve">Internal trailer reference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D">
            <w:pPr>
              <w:spacing w:after="0" w:lineRule="auto"/>
              <w:rPr/>
            </w:pPr>
            <w:r w:rsidDel="00000000" w:rsidR="00000000" w:rsidRPr="00000000">
              <w:rPr>
                <w:rFonts w:ascii="Calibri" w:cs="Calibri" w:eastAsia="Calibri" w:hAnsi="Calibri"/>
                <w:sz w:val="20"/>
                <w:szCs w:val="20"/>
                <w:rtl w:val="0"/>
              </w:rPr>
              <w:t xml:space="preserve">TR: BARCGB22XXX-MT760-22042026 (embeds 22 April 2026, inconsistent with the stated issue date)</w:t>
            </w:r>
            <w:r w:rsidDel="00000000" w:rsidR="00000000" w:rsidRPr="00000000">
              <w:rPr>
                <w:rtl w:val="0"/>
              </w:rPr>
            </w:r>
          </w:p>
        </w:tc>
      </w:tr>
    </w:tbl>
    <w:p w:rsidR="00000000" w:rsidDel="00000000" w:rsidP="00000000" w:rsidRDefault="00000000" w:rsidRPr="00000000" w14:paraId="0000001E">
      <w:pPr>
        <w:spacing w:after="120" w:lineRule="auto"/>
        <w:rPr/>
      </w:pPr>
      <w:r w:rsidDel="00000000" w:rsidR="00000000" w:rsidRPr="00000000">
        <w:rPr>
          <w:rtl w:val="0"/>
        </w:rPr>
      </w:r>
    </w:p>
    <w:p w:rsidR="00000000" w:rsidDel="00000000" w:rsidP="00000000" w:rsidRDefault="00000000" w:rsidRPr="00000000" w14:paraId="0000001F">
      <w:pPr>
        <w:pStyle w:val="Heading1"/>
        <w:spacing w:after="160" w:before="240" w:lineRule="auto"/>
        <w:rPr/>
      </w:pPr>
      <w:r w:rsidDel="00000000" w:rsidR="00000000" w:rsidRPr="00000000">
        <w:rPr>
          <w:rFonts w:ascii="Calibri" w:cs="Calibri" w:eastAsia="Calibri" w:hAnsi="Calibri"/>
          <w:b w:val="1"/>
          <w:bCs w:val="1"/>
          <w:color w:val="1f3864"/>
          <w:sz w:val="26"/>
          <w:szCs w:val="26"/>
          <w:rtl w:val="0"/>
        </w:rPr>
        <w:t xml:space="preserve">3. Indicators of fraud</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576" w:right="0" w:hanging="288"/>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Wrong channel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A genuine MT760 is an authenticated bank-to-bank SWIFT message; it never circulates among commercial parties as a PDF “message reader” printout.</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576" w:right="0" w:hanging="288"/>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Signature blocks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The document carries signature blocks for two “authorised signatories”, the applicant and the beneficiary, with space for stamps. SWIFT messages are authenticated cryptographically between banks and are never physically signed or countersigned by the parties.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576" w:right="0" w:hanging="288"/>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Self-contradiction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The header states “FOR BANK VALIDATION ONLY — NOT FOR NEGOTIATION” and each page is footed “MT760 DRAFT”, while the body declares “THIS IS AN OPERATIVE BANKING INSTRUMENT TRANSMITTED VIA AUTHENTICATED SWIFT. NO MAIL CONFIRMATION WILL FOLLOW.” A document cannot be both a draft and an operative instrument; the latter phrase is stock wording found in fraudulent instrument templates.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576" w:right="0" w:hanging="288"/>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Malformed SWIFT fields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Field 15A contains “13.2026.21:35:02.0100” and field 15B contains “711:196-05140789-117:6210-760:364705-89631” — strings with no meaning in the MT760 format. Field 40C uses the written-out phrase “UCP LATEST VERSION” rather than a defined code, and the field 20 transaction reference far exceeds the 16-character limit of that field.</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576" w:right="0" w:hanging="288"/>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Internal date conflict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The trailer reference TR: BARCGB22XXX-MT760-22042026 embeds a date of 22 April 2026, inconsistent with the stated date of issue of 24 June 2026.</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576" w:right="0" w:hanging="288"/>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Commercially impossible terms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Payment is promised only against a demand “approved by us (MT799)” — a condition under which the issuer alone decides whether ever to pay, negating the instrument while appearing binding to a lay reader. The instrument is also declared freely “transferable and assignable without presentation… or payment of any transfer or assignment fee”, contrary to how genuine standby credits control transfer, and consistent with instruments intended to be shopped for monetisation schemes.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576" w:right="0" w:hanging="288"/>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Fee hook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Field 71D places advising/confirmation charges on the beneficiary and states they “may not be waived”. In this fraud pattern, demands for such “advising”, “confirmation” or “activation” fees are typically the true object of the scheme.</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576" w:right="0" w:hanging="288"/>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Drafting errors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A purportedly London-issued Barclays document uses United States spelling (“IN FAVOR”) and misspells the beneficiary’s own address (“ROYALT CASTLE ROAD”).</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576" w:right="0" w:hanging="288"/>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Known fraud pattern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A Dubai DMCC gems company as applicant, a Ghanaian minerals company as beneficiary, a USD 10 million standby and a preceding MT799 together match a well-documented pattern of gold-trade advance-fee fraud in the Dubai–Accra corridor.</w:t>
      </w:r>
    </w:p>
    <w:p w:rsidR="00000000" w:rsidDel="00000000" w:rsidP="00000000" w:rsidRDefault="00000000" w:rsidRPr="00000000" w14:paraId="00000029">
      <w:pPr>
        <w:pStyle w:val="Heading1"/>
        <w:spacing w:after="160" w:before="240" w:lineRule="auto"/>
        <w:rPr/>
      </w:pPr>
      <w:r w:rsidDel="00000000" w:rsidR="00000000" w:rsidRPr="00000000">
        <w:rPr>
          <w:rFonts w:ascii="Calibri" w:cs="Calibri" w:eastAsia="Calibri" w:hAnsi="Calibri"/>
          <w:b w:val="1"/>
          <w:bCs w:val="1"/>
          <w:color w:val="1f3864"/>
          <w:sz w:val="26"/>
          <w:szCs w:val="26"/>
          <w:rtl w:val="0"/>
        </w:rPr>
        <w:t xml:space="preserve">4. Action taken and requested</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576"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payment has been made and no goods have moved in reliance on the document. [Amend if otherwise.]</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576"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bank-to-bank verification request has been submitted to Standard Chartered Bank Ghana Limited asking it to confirm from its SWIFT records whether any authenticated MT760 or MT799 under the stated references was received from BARCGB22XXX.</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576"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Barclays Bank PLC is asked to note the misuse of its name, address and SWIFT code and to advise whether it wishes to receive the original file for its own investigation.</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576"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EOCO [and the Ghana Police Service] are asked to record this report and advise whether a formal complaint should be lodged, including details of the parties who circulated the document. [Insert how, when and from whom the document was received.]</w:t>
      </w:r>
    </w:p>
    <w:p w:rsidR="00000000" w:rsidDel="00000000" w:rsidP="00000000" w:rsidRDefault="00000000" w:rsidRPr="00000000" w14:paraId="0000002E">
      <w:pPr>
        <w:pStyle w:val="Heading1"/>
        <w:spacing w:after="160" w:before="240" w:lineRule="auto"/>
        <w:rPr/>
      </w:pPr>
      <w:r w:rsidDel="00000000" w:rsidR="00000000" w:rsidRPr="00000000">
        <w:rPr>
          <w:rFonts w:ascii="Calibri" w:cs="Calibri" w:eastAsia="Calibri" w:hAnsi="Calibri"/>
          <w:b w:val="1"/>
          <w:bCs w:val="1"/>
          <w:color w:val="1f3864"/>
          <w:sz w:val="26"/>
          <w:szCs w:val="26"/>
          <w:rtl w:val="0"/>
        </w:rPr>
        <w:t xml:space="preserve">5. Attachments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576"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Purported MT760 as received (PDF, 3 pages)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576"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[Correspondence or messages by which the document was transmitted — emails, WhatsApp, etc., with headers/metadata where available]</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576"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related documents: purported MT799, contracts, invoices, KYC packs]</w:t>
      </w:r>
    </w:p>
    <w:p w:rsidR="00000000" w:rsidDel="00000000" w:rsidP="00000000" w:rsidRDefault="00000000" w:rsidRPr="00000000" w14:paraId="00000032">
      <w:pPr>
        <w:spacing w:after="120" w:lineRule="auto"/>
        <w:rPr/>
      </w:pPr>
      <w:r w:rsidDel="00000000" w:rsidR="00000000" w:rsidRPr="00000000">
        <w:rPr>
          <w:rtl w:val="0"/>
        </w:rPr>
      </w:r>
    </w:p>
    <w:p w:rsidR="00000000" w:rsidDel="00000000" w:rsidP="00000000" w:rsidRDefault="00000000" w:rsidRPr="00000000" w14:paraId="00000033">
      <w:pPr>
        <w:spacing w:after="160" w:line="276" w:lineRule="auto"/>
        <w:rPr/>
      </w:pPr>
      <w:r w:rsidDel="00000000" w:rsidR="00000000" w:rsidRPr="00000000">
        <w:rPr>
          <w:rFonts w:ascii="Calibri" w:cs="Calibri" w:eastAsia="Calibri" w:hAnsi="Calibri"/>
          <w:i w:val="1"/>
          <w:iCs w:val="1"/>
          <w:sz w:val="20"/>
          <w:szCs w:val="20"/>
          <w:rtl w:val="0"/>
        </w:rPr>
        <w:t xml:space="preserve">This summary is provided in good faith for fraud-prevention and investigative purposes. It records the characteristics of the document as presented; determinations of criminal conduct are a matter for the competent authorities.</w:t>
      </w:r>
      <w:r w:rsidDel="00000000" w:rsidR="00000000" w:rsidRPr="00000000">
        <w:rPr>
          <w:rtl w:val="0"/>
        </w:rPr>
      </w:r>
    </w:p>
    <w:sectPr>
      <w:pgSz w:h="16838" w:w="11906" w:orient="portrait"/>
      <w:pgMar w:bottom="1134" w:top="1134" w:left="1418" w:right="1418"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6" w:hanging="288"/>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76"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