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21BE" w14:textId="7C18449F" w:rsidR="00EB2850" w:rsidRDefault="00E00B7C" w:rsidP="00E00B7C">
      <w:pPr>
        <w:pStyle w:val="Heading1"/>
      </w:pPr>
      <w:r>
        <w:t>Analiza głównych składowych</w:t>
      </w:r>
    </w:p>
    <w:p w14:paraId="755E5589" w14:textId="7F1CEE33" w:rsidR="00E00B7C" w:rsidRDefault="00E00B7C">
      <w:r>
        <w:t xml:space="preserve">Celem analizy głównych składowych (algorytm PCA) w kontekście omawianego zbioru danych jest redukcja jak największej ilości zmiennych poprzez przekształcenie zbioru w taki sposób, by zmaksymalizować wartość informacyjną każdego z wymiarów.  </w:t>
      </w:r>
      <w:r w:rsidRPr="00E00B7C">
        <w:t xml:space="preserve">Operacja ta polega na tym, że po </w:t>
      </w:r>
      <w:proofErr w:type="spellStart"/>
      <w:r w:rsidRPr="00E00B7C">
        <w:t>wystandaryzowaniu</w:t>
      </w:r>
      <w:proofErr w:type="spellEnd"/>
      <w:r w:rsidRPr="00E00B7C">
        <w:t xml:space="preserve"> zmiennych tworzony jest nowy układ współrzędnych, na który punkty są rzutowane w taki sposób, aby ich wariancja była jak największa.</w:t>
      </w:r>
      <w:r>
        <w:t xml:space="preserve"> </w:t>
      </w:r>
      <w:r w:rsidRPr="00E00B7C">
        <w:t>Dzięki takiemu przekształceniu możliwe jest zawarcie większej liczby informacji</w:t>
      </w:r>
      <w:r>
        <w:t xml:space="preserve"> </w:t>
      </w:r>
      <w:r w:rsidRPr="00E00B7C">
        <w:t>reprezentowanych przez pierwotne zmienne przy użyciu mniejszej liczby nowych</w:t>
      </w:r>
      <w:r>
        <w:t xml:space="preserve"> </w:t>
      </w:r>
      <w:r w:rsidRPr="00E00B7C">
        <w:t>zmiennych.</w:t>
      </w:r>
    </w:p>
    <w:p w14:paraId="619322B7" w14:textId="77777777" w:rsidR="00E00B7C" w:rsidRDefault="00E00B7C"/>
    <w:p w14:paraId="1089FB43" w14:textId="5822CEF3" w:rsidR="00E00B7C" w:rsidRDefault="00E00B7C" w:rsidP="00B81F95">
      <w:pPr>
        <w:pStyle w:val="Heading2"/>
      </w:pPr>
      <w:r>
        <w:t>Wybór zmiennych do analizy</w:t>
      </w:r>
    </w:p>
    <w:p w14:paraId="6EEC6038" w14:textId="687BAA7A" w:rsidR="00FB5B55" w:rsidRDefault="00B81F95">
      <w:r w:rsidRPr="00B81F95">
        <w:t>Algorytm PCA jest niezwykle pomocną metodą, jednak wprowadzanie do niego wszystkich dostępnych zmiennych</w:t>
      </w:r>
      <w:r>
        <w:t xml:space="preserve">, </w:t>
      </w:r>
      <w:r w:rsidRPr="00B81F95">
        <w:t>których w prezentowanej analizie jest ponad 50</w:t>
      </w:r>
      <w:r>
        <w:t xml:space="preserve">, </w:t>
      </w:r>
      <w:r w:rsidRPr="00B81F95">
        <w:t xml:space="preserve">mogłoby zaburzyć wyniki z powodu szumu informacyjnego. Z tego względu w pierwszej kolejności wyeliminowano zmienne, których współczynnik zmienności był niższy niż </w:t>
      </w:r>
      <m:oMath>
        <m:r>
          <w:rPr>
            <w:rFonts w:ascii="Cambria Math" w:hAnsi="Cambria Math"/>
          </w:rPr>
          <m:t>0.25</m:t>
        </m:r>
      </m:oMath>
      <w:r w:rsidRPr="00B81F95">
        <w:t>, ponieważ nie różnicowały one w wystarczającym stopniu badanego zbioru.</w:t>
      </w:r>
      <w:r>
        <w:t xml:space="preserve"> </w:t>
      </w:r>
      <w:r w:rsidRPr="00B81F95">
        <w:t>W</w:t>
      </w:r>
      <w:r>
        <w:t xml:space="preserve"> </w:t>
      </w:r>
      <w:r w:rsidRPr="00B81F95">
        <w:t>analizie zdecydowano się na rygorystyczne kryterium 0,25 zamiast powszechnie</w:t>
      </w:r>
      <w:r>
        <w:t xml:space="preserve"> </w:t>
      </w:r>
      <w:r w:rsidRPr="00B81F95">
        <w:t>stosowanego w literaturze progu 0,1. Decyzja ta wynikała z dużej liczby zmiennych oraz z</w:t>
      </w:r>
      <w:r>
        <w:t xml:space="preserve"> </w:t>
      </w:r>
      <w:r w:rsidRPr="00B81F95">
        <w:t>chęci wyselekcjonowania jedynie tych cech, które silnie różnicują województwa, co</w:t>
      </w:r>
      <w:r>
        <w:t xml:space="preserve"> </w:t>
      </w:r>
      <w:r w:rsidRPr="00B81F95">
        <w:t>pozwoli na wyraźniejsze uwypuklenie zachodzącego między nimi dualizmu.</w:t>
      </w:r>
      <w:r>
        <w:t xml:space="preserve"> </w:t>
      </w:r>
      <w:r w:rsidR="00773739" w:rsidRPr="00773739">
        <w:t>Drugim kryterium doboru cech była analiza ich wzajemnej korelacji, gdzie przedział decyzyjny współczynnika korelacji Pearsona ustalono na [0,7; 0,9]. Górny próg (0,9) zastosowano w celu wyeliminowania zmiennych współliniowych, które niosą niemal identyczną wartość informacyjną. Z kolei dolny próg (0</w:t>
      </w:r>
      <w:r w:rsidR="00773739">
        <w:t>.</w:t>
      </w:r>
      <w:r w:rsidR="00773739" w:rsidRPr="00773739">
        <w:t>7) pozwolił na odrzucenie cech zbyt słabo powiązanych z pozostałymi.</w:t>
      </w:r>
    </w:p>
    <w:p w14:paraId="7A9D52BA" w14:textId="6848C1CC" w:rsidR="00FB5B55" w:rsidRDefault="00FB5B55">
      <w:r w:rsidRPr="00FB5B55">
        <w:t>Na Rysunku 1 przedstawiono macierz korelacji przed eliminacją cech, która wyraźnie obrazuje potrzebę wstępnej selekcji zmiennych. Bez tego zabiegu algorytm PCA oparty na ponad 50 cechach byłby nieefektywny, ponieważ duże rozproszenie informacji wymusiłoby stworzenie wielu wymiarów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i</m:t>
            </m:r>
          </m:sub>
        </m:sSub>
      </m:oMath>
      <w:r w:rsidRPr="00FB5B55">
        <w:t>) do wyjaśnienia wariancji, co zaprzecza idei redukcji. Dodatkowo silna współliniowość wprowadzałaby szum informacyjny, sztucznie zniekształcając obraz dysproporcji między regionami.</w:t>
      </w:r>
    </w:p>
    <w:p w14:paraId="706789D0" w14:textId="0153D4B2" w:rsidR="0033652B" w:rsidRDefault="00FB5B55">
      <w:r w:rsidRPr="00FB5B55">
        <w:t>Rysunek 2 prezentuje strukturę danych po zredukowaniu zbioru do zaledwie 16 kluczowych zmiennych. Dzięki temu drastycznie wzrasta szansa na to, że cała esencja informacji zostanie zawarta w mniejszej liczbie wymiarów, co ułatwi późniejszą interpretację. Usunięcie szumu pozwoliło wyodrębnić silną strukturę powiązań oraz dych</w:t>
      </w:r>
      <w:r w:rsidR="00FC7932">
        <w:t>o</w:t>
      </w:r>
      <w:r w:rsidRPr="00FB5B55">
        <w:t>tomiczny charakter relacji</w:t>
      </w:r>
      <w:r w:rsidR="00425608">
        <w:t>.</w:t>
      </w:r>
    </w:p>
    <w:p w14:paraId="1F054CA8" w14:textId="0B4B7920" w:rsidR="00FB5B55" w:rsidRDefault="0033652B" w:rsidP="00FB5B55">
      <w:pPr>
        <w:pStyle w:val="Caption"/>
        <w:keepNext/>
        <w:jc w:val="center"/>
      </w:pPr>
      <w:r>
        <w:lastRenderedPageBreak/>
        <w:t xml:space="preserve">Rysunek </w:t>
      </w:r>
      <w:fldSimple w:instr=" SEQ Rysunek \* ARABIC ">
        <w:r w:rsidR="00BC05C1">
          <w:rPr>
            <w:noProof/>
          </w:rPr>
          <w:t>1</w:t>
        </w:r>
      </w:fldSimple>
      <w:r>
        <w:t xml:space="preserve"> Macierz korelacji przed redukcją cech</w:t>
      </w:r>
    </w:p>
    <w:p w14:paraId="76743654" w14:textId="3F6EF6F8" w:rsidR="0033652B" w:rsidRDefault="0033652B">
      <w:r w:rsidRPr="0033652B">
        <w:rPr>
          <w:noProof/>
        </w:rPr>
        <w:drawing>
          <wp:inline distT="0" distB="0" distL="0" distR="0" wp14:anchorId="399DBCE9" wp14:editId="54985707">
            <wp:extent cx="5760720" cy="5220335"/>
            <wp:effectExtent l="0" t="0" r="0" b="0"/>
            <wp:docPr id="20821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5892" name=""/>
                    <pic:cNvPicPr/>
                  </pic:nvPicPr>
                  <pic:blipFill>
                    <a:blip r:embed="rId6"/>
                    <a:stretch>
                      <a:fillRect/>
                    </a:stretch>
                  </pic:blipFill>
                  <pic:spPr>
                    <a:xfrm>
                      <a:off x="0" y="0"/>
                      <a:ext cx="5760720" cy="5220335"/>
                    </a:xfrm>
                    <a:prstGeom prst="rect">
                      <a:avLst/>
                    </a:prstGeom>
                  </pic:spPr>
                </pic:pic>
              </a:graphicData>
            </a:graphic>
          </wp:inline>
        </w:drawing>
      </w:r>
    </w:p>
    <w:p w14:paraId="5C38D229" w14:textId="77777777" w:rsidR="00FB5B55" w:rsidRPr="00FB5B55" w:rsidRDefault="00FB5B55" w:rsidP="00FB5B55"/>
    <w:p w14:paraId="71591332" w14:textId="0DE04CE7" w:rsidR="00425608" w:rsidRDefault="00425608" w:rsidP="00425608">
      <w:pPr>
        <w:pStyle w:val="Caption"/>
        <w:keepNext/>
        <w:jc w:val="center"/>
      </w:pPr>
      <w:r>
        <w:t xml:space="preserve">Rysunek </w:t>
      </w:r>
      <w:fldSimple w:instr=" SEQ Rysunek \* ARABIC ">
        <w:r w:rsidR="00BC05C1">
          <w:rPr>
            <w:noProof/>
          </w:rPr>
          <w:t>2</w:t>
        </w:r>
      </w:fldSimple>
      <w:r>
        <w:t xml:space="preserve"> Macierz korelacji oraz cząstkowej korelacji po eliminacji cech</w:t>
      </w:r>
    </w:p>
    <w:p w14:paraId="4D5E7AFA" w14:textId="0CF6901A" w:rsidR="00FB5B55" w:rsidRDefault="00425608" w:rsidP="00FB5B55">
      <w:r w:rsidRPr="00FB5B55">
        <w:rPr>
          <w:noProof/>
        </w:rPr>
        <w:drawing>
          <wp:inline distT="0" distB="0" distL="0" distR="0" wp14:anchorId="61F72440" wp14:editId="5595B998">
            <wp:extent cx="5760720" cy="2589530"/>
            <wp:effectExtent l="0" t="0" r="0" b="1270"/>
            <wp:docPr id="20226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6711" name=""/>
                    <pic:cNvPicPr/>
                  </pic:nvPicPr>
                  <pic:blipFill>
                    <a:blip r:embed="rId7"/>
                    <a:stretch>
                      <a:fillRect/>
                    </a:stretch>
                  </pic:blipFill>
                  <pic:spPr>
                    <a:xfrm>
                      <a:off x="0" y="0"/>
                      <a:ext cx="5760720" cy="2589530"/>
                    </a:xfrm>
                    <a:prstGeom prst="rect">
                      <a:avLst/>
                    </a:prstGeom>
                  </pic:spPr>
                </pic:pic>
              </a:graphicData>
            </a:graphic>
          </wp:inline>
        </w:drawing>
      </w:r>
    </w:p>
    <w:p w14:paraId="588B5858" w14:textId="7CF5FD61" w:rsidR="008B61B0" w:rsidRDefault="00C11670" w:rsidP="00FB5B55">
      <w:r w:rsidRPr="00C11670">
        <w:lastRenderedPageBreak/>
        <w:t>Poniżej przedstawiono zestaw zmiennych, które spełniły kryteria formalne i zostały zakwalifikowane do analizy składowych głównych</w:t>
      </w:r>
      <w:r>
        <w:t>.</w:t>
      </w:r>
    </w:p>
    <w:tbl>
      <w:tblPr>
        <w:tblStyle w:val="TableGrid"/>
        <w:tblW w:w="0" w:type="auto"/>
        <w:tblLook w:val="04A0" w:firstRow="1" w:lastRow="0" w:firstColumn="1" w:lastColumn="0" w:noHBand="0" w:noVBand="1"/>
      </w:tblPr>
      <w:tblGrid>
        <w:gridCol w:w="2405"/>
        <w:gridCol w:w="567"/>
        <w:gridCol w:w="6090"/>
      </w:tblGrid>
      <w:tr w:rsidR="008B61B0" w:rsidRPr="008B61B0" w14:paraId="1FABB7AC" w14:textId="77777777" w:rsidTr="008B61B0">
        <w:trPr>
          <w:trHeight w:val="288"/>
        </w:trPr>
        <w:tc>
          <w:tcPr>
            <w:tcW w:w="2405" w:type="dxa"/>
            <w:noWrap/>
            <w:hideMark/>
          </w:tcPr>
          <w:p w14:paraId="420CBC1E" w14:textId="77777777" w:rsidR="008B61B0" w:rsidRPr="008B61B0" w:rsidRDefault="008B61B0" w:rsidP="008B61B0">
            <w:pPr>
              <w:pStyle w:val="Heading2"/>
              <w:rPr>
                <w:color w:val="000000" w:themeColor="text1"/>
                <w:sz w:val="18"/>
                <w:szCs w:val="18"/>
              </w:rPr>
            </w:pPr>
            <w:r w:rsidRPr="008B61B0">
              <w:rPr>
                <w:color w:val="000000" w:themeColor="text1"/>
                <w:sz w:val="18"/>
                <w:szCs w:val="18"/>
              </w:rPr>
              <w:t>DEMOGRAFIA</w:t>
            </w:r>
          </w:p>
        </w:tc>
        <w:tc>
          <w:tcPr>
            <w:tcW w:w="567" w:type="dxa"/>
            <w:noWrap/>
            <w:hideMark/>
          </w:tcPr>
          <w:p w14:paraId="7D999FB7"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x01</w:t>
            </w:r>
          </w:p>
        </w:tc>
        <w:tc>
          <w:tcPr>
            <w:tcW w:w="6090" w:type="dxa"/>
            <w:noWrap/>
            <w:hideMark/>
          </w:tcPr>
          <w:p w14:paraId="09912100" w14:textId="77777777" w:rsidR="008B61B0" w:rsidRPr="008B61B0" w:rsidRDefault="008B61B0" w:rsidP="008B61B0">
            <w:pPr>
              <w:pStyle w:val="Heading2"/>
              <w:rPr>
                <w:color w:val="000000" w:themeColor="text1"/>
                <w:sz w:val="18"/>
                <w:szCs w:val="18"/>
              </w:rPr>
            </w:pPr>
            <w:r w:rsidRPr="008B61B0">
              <w:rPr>
                <w:color w:val="000000" w:themeColor="text1"/>
                <w:sz w:val="18"/>
                <w:szCs w:val="18"/>
              </w:rPr>
              <w:t>gęstość zaludnienie (os / km2) - 2021 SP</w:t>
            </w:r>
          </w:p>
        </w:tc>
      </w:tr>
      <w:tr w:rsidR="008B61B0" w:rsidRPr="008B61B0" w14:paraId="48113BB9" w14:textId="77777777" w:rsidTr="008B61B0">
        <w:trPr>
          <w:trHeight w:val="288"/>
        </w:trPr>
        <w:tc>
          <w:tcPr>
            <w:tcW w:w="2405" w:type="dxa"/>
            <w:noWrap/>
            <w:hideMark/>
          </w:tcPr>
          <w:p w14:paraId="19B1FD94" w14:textId="77777777" w:rsidR="008B61B0" w:rsidRPr="008B61B0" w:rsidRDefault="008B61B0" w:rsidP="008B61B0">
            <w:pPr>
              <w:pStyle w:val="Heading2"/>
              <w:rPr>
                <w:color w:val="000000" w:themeColor="text1"/>
                <w:sz w:val="18"/>
                <w:szCs w:val="18"/>
              </w:rPr>
            </w:pPr>
            <w:r w:rsidRPr="008B61B0">
              <w:rPr>
                <w:color w:val="000000" w:themeColor="text1"/>
                <w:sz w:val="18"/>
                <w:szCs w:val="18"/>
              </w:rPr>
              <w:t>DEMOGRAFIA</w:t>
            </w:r>
          </w:p>
        </w:tc>
        <w:tc>
          <w:tcPr>
            <w:tcW w:w="567" w:type="dxa"/>
            <w:noWrap/>
            <w:hideMark/>
          </w:tcPr>
          <w:p w14:paraId="5C59E42A"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x03</w:t>
            </w:r>
          </w:p>
        </w:tc>
        <w:tc>
          <w:tcPr>
            <w:tcW w:w="6090" w:type="dxa"/>
            <w:noWrap/>
            <w:hideMark/>
          </w:tcPr>
          <w:p w14:paraId="7F931172"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emigranci - 2021 </w:t>
            </w:r>
            <w:proofErr w:type="spellStart"/>
            <w:r w:rsidRPr="008B61B0">
              <w:rPr>
                <w:color w:val="000000" w:themeColor="text1"/>
                <w:sz w:val="18"/>
                <w:szCs w:val="18"/>
              </w:rPr>
              <w:t>sp</w:t>
            </w:r>
            <w:proofErr w:type="spellEnd"/>
            <w:r w:rsidRPr="008B61B0">
              <w:rPr>
                <w:color w:val="000000" w:themeColor="text1"/>
                <w:sz w:val="18"/>
                <w:szCs w:val="18"/>
              </w:rPr>
              <w:t xml:space="preserve"> - odsetek emigrantów w % względem </w:t>
            </w:r>
            <w:proofErr w:type="spellStart"/>
            <w:r w:rsidRPr="008B61B0">
              <w:rPr>
                <w:color w:val="000000" w:themeColor="text1"/>
                <w:sz w:val="18"/>
                <w:szCs w:val="18"/>
              </w:rPr>
              <w:t>ludnosci</w:t>
            </w:r>
            <w:proofErr w:type="spellEnd"/>
            <w:r w:rsidRPr="008B61B0">
              <w:rPr>
                <w:color w:val="000000" w:themeColor="text1"/>
                <w:sz w:val="18"/>
                <w:szCs w:val="18"/>
              </w:rPr>
              <w:t xml:space="preserve"> </w:t>
            </w:r>
            <w:proofErr w:type="spellStart"/>
            <w:r w:rsidRPr="008B61B0">
              <w:rPr>
                <w:color w:val="000000" w:themeColor="text1"/>
                <w:sz w:val="18"/>
                <w:szCs w:val="18"/>
              </w:rPr>
              <w:t>wojewodztwa</w:t>
            </w:r>
            <w:proofErr w:type="spellEnd"/>
            <w:r w:rsidRPr="008B61B0">
              <w:rPr>
                <w:color w:val="000000" w:themeColor="text1"/>
                <w:sz w:val="18"/>
                <w:szCs w:val="18"/>
              </w:rPr>
              <w:t xml:space="preserve"> - czasowy pobyt za granica</w:t>
            </w:r>
          </w:p>
        </w:tc>
      </w:tr>
      <w:tr w:rsidR="008B61B0" w:rsidRPr="008B61B0" w14:paraId="7C782DF1" w14:textId="77777777" w:rsidTr="008B61B0">
        <w:trPr>
          <w:trHeight w:val="288"/>
        </w:trPr>
        <w:tc>
          <w:tcPr>
            <w:tcW w:w="2405" w:type="dxa"/>
            <w:noWrap/>
            <w:hideMark/>
          </w:tcPr>
          <w:p w14:paraId="582D050B" w14:textId="77777777" w:rsidR="008B61B0" w:rsidRPr="008B61B0" w:rsidRDefault="008B61B0" w:rsidP="008B61B0">
            <w:pPr>
              <w:pStyle w:val="Heading2"/>
              <w:rPr>
                <w:color w:val="000000" w:themeColor="text1"/>
                <w:sz w:val="18"/>
                <w:szCs w:val="18"/>
              </w:rPr>
            </w:pPr>
            <w:r w:rsidRPr="008B61B0">
              <w:rPr>
                <w:color w:val="000000" w:themeColor="text1"/>
                <w:sz w:val="18"/>
                <w:szCs w:val="18"/>
              </w:rPr>
              <w:t>EDUKACJA</w:t>
            </w:r>
          </w:p>
        </w:tc>
        <w:tc>
          <w:tcPr>
            <w:tcW w:w="567" w:type="dxa"/>
            <w:noWrap/>
            <w:hideMark/>
          </w:tcPr>
          <w:p w14:paraId="522752DB"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x09</w:t>
            </w:r>
          </w:p>
        </w:tc>
        <w:tc>
          <w:tcPr>
            <w:tcW w:w="6090" w:type="dxa"/>
            <w:noWrap/>
            <w:hideMark/>
          </w:tcPr>
          <w:p w14:paraId="49A28FEC"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studencki uczelni na 1,000 </w:t>
            </w:r>
            <w:proofErr w:type="spellStart"/>
            <w:r w:rsidRPr="008B61B0">
              <w:rPr>
                <w:color w:val="000000" w:themeColor="text1"/>
                <w:sz w:val="18"/>
                <w:szCs w:val="18"/>
              </w:rPr>
              <w:t>ludnosci</w:t>
            </w:r>
            <w:proofErr w:type="spellEnd"/>
            <w:r w:rsidRPr="008B61B0">
              <w:rPr>
                <w:color w:val="000000" w:themeColor="text1"/>
                <w:sz w:val="18"/>
                <w:szCs w:val="18"/>
              </w:rPr>
              <w:t xml:space="preserve"> - 2024</w:t>
            </w:r>
          </w:p>
        </w:tc>
      </w:tr>
      <w:tr w:rsidR="008B61B0" w:rsidRPr="008B61B0" w14:paraId="13FC7B35" w14:textId="77777777" w:rsidTr="008B61B0">
        <w:trPr>
          <w:trHeight w:val="288"/>
        </w:trPr>
        <w:tc>
          <w:tcPr>
            <w:tcW w:w="2405" w:type="dxa"/>
            <w:noWrap/>
            <w:hideMark/>
          </w:tcPr>
          <w:p w14:paraId="29877542" w14:textId="77777777" w:rsidR="008B61B0" w:rsidRPr="008B61B0" w:rsidRDefault="008B61B0" w:rsidP="008B61B0">
            <w:pPr>
              <w:pStyle w:val="Heading2"/>
              <w:rPr>
                <w:color w:val="000000" w:themeColor="text1"/>
                <w:sz w:val="18"/>
                <w:szCs w:val="18"/>
              </w:rPr>
            </w:pPr>
            <w:r w:rsidRPr="008B61B0">
              <w:rPr>
                <w:color w:val="000000" w:themeColor="text1"/>
                <w:sz w:val="18"/>
                <w:szCs w:val="18"/>
              </w:rPr>
              <w:t>GOSPODARKA</w:t>
            </w:r>
          </w:p>
        </w:tc>
        <w:tc>
          <w:tcPr>
            <w:tcW w:w="567" w:type="dxa"/>
            <w:noWrap/>
            <w:hideMark/>
          </w:tcPr>
          <w:p w14:paraId="4CAA1E72"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x13</w:t>
            </w:r>
          </w:p>
        </w:tc>
        <w:tc>
          <w:tcPr>
            <w:tcW w:w="6090" w:type="dxa"/>
            <w:noWrap/>
            <w:hideMark/>
          </w:tcPr>
          <w:p w14:paraId="355EE178"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dochody budżetów województw na 1 </w:t>
            </w:r>
            <w:proofErr w:type="spellStart"/>
            <w:r w:rsidRPr="008B61B0">
              <w:rPr>
                <w:color w:val="000000" w:themeColor="text1"/>
                <w:sz w:val="18"/>
                <w:szCs w:val="18"/>
              </w:rPr>
              <w:t>mieszkanca</w:t>
            </w:r>
            <w:proofErr w:type="spellEnd"/>
            <w:r w:rsidRPr="008B61B0">
              <w:rPr>
                <w:color w:val="000000" w:themeColor="text1"/>
                <w:sz w:val="18"/>
                <w:szCs w:val="18"/>
              </w:rPr>
              <w:t xml:space="preserve"> w roku 2024 w dziesiątkach złotych]</w:t>
            </w:r>
          </w:p>
        </w:tc>
      </w:tr>
      <w:tr w:rsidR="008B61B0" w:rsidRPr="008B61B0" w14:paraId="770DB7ED" w14:textId="77777777" w:rsidTr="008B61B0">
        <w:trPr>
          <w:trHeight w:val="288"/>
        </w:trPr>
        <w:tc>
          <w:tcPr>
            <w:tcW w:w="2405" w:type="dxa"/>
            <w:noWrap/>
            <w:hideMark/>
          </w:tcPr>
          <w:p w14:paraId="580F6616"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61CC3EEB"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x17</w:t>
            </w:r>
          </w:p>
        </w:tc>
        <w:tc>
          <w:tcPr>
            <w:tcW w:w="6090" w:type="dxa"/>
            <w:noWrap/>
            <w:hideMark/>
          </w:tcPr>
          <w:p w14:paraId="7396B0E8"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drogi dla </w:t>
            </w:r>
            <w:proofErr w:type="spellStart"/>
            <w:r w:rsidRPr="008B61B0">
              <w:rPr>
                <w:color w:val="000000" w:themeColor="text1"/>
                <w:sz w:val="18"/>
                <w:szCs w:val="18"/>
              </w:rPr>
              <w:t>rowerow</w:t>
            </w:r>
            <w:proofErr w:type="spellEnd"/>
            <w:r w:rsidRPr="008B61B0">
              <w:rPr>
                <w:color w:val="000000" w:themeColor="text1"/>
                <w:sz w:val="18"/>
                <w:szCs w:val="18"/>
              </w:rPr>
              <w:t xml:space="preserve"> na 1,000 km2 2024</w:t>
            </w:r>
          </w:p>
        </w:tc>
      </w:tr>
      <w:tr w:rsidR="008B61B0" w:rsidRPr="008B61B0" w14:paraId="661BF8FF" w14:textId="77777777" w:rsidTr="008B61B0">
        <w:trPr>
          <w:trHeight w:val="288"/>
        </w:trPr>
        <w:tc>
          <w:tcPr>
            <w:tcW w:w="2405" w:type="dxa"/>
            <w:noWrap/>
            <w:hideMark/>
          </w:tcPr>
          <w:p w14:paraId="645604D8"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5304B526"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x18</w:t>
            </w:r>
          </w:p>
        </w:tc>
        <w:tc>
          <w:tcPr>
            <w:tcW w:w="6090" w:type="dxa"/>
            <w:noWrap/>
            <w:hideMark/>
          </w:tcPr>
          <w:p w14:paraId="76A6551C"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kilometry </w:t>
            </w:r>
            <w:proofErr w:type="spellStart"/>
            <w:r w:rsidRPr="008B61B0">
              <w:rPr>
                <w:color w:val="000000" w:themeColor="text1"/>
                <w:sz w:val="18"/>
                <w:szCs w:val="18"/>
              </w:rPr>
              <w:t>drog</w:t>
            </w:r>
            <w:proofErr w:type="spellEnd"/>
            <w:r w:rsidRPr="008B61B0">
              <w:rPr>
                <w:color w:val="000000" w:themeColor="text1"/>
                <w:sz w:val="18"/>
                <w:szCs w:val="18"/>
              </w:rPr>
              <w:t xml:space="preserve"> </w:t>
            </w:r>
            <w:proofErr w:type="spellStart"/>
            <w:r w:rsidRPr="008B61B0">
              <w:rPr>
                <w:color w:val="000000" w:themeColor="text1"/>
                <w:sz w:val="18"/>
                <w:szCs w:val="18"/>
              </w:rPr>
              <w:t>publiczncyh</w:t>
            </w:r>
            <w:proofErr w:type="spellEnd"/>
            <w:r w:rsidRPr="008B61B0">
              <w:rPr>
                <w:color w:val="000000" w:themeColor="text1"/>
                <w:sz w:val="18"/>
                <w:szCs w:val="18"/>
              </w:rPr>
              <w:t xml:space="preserve"> </w:t>
            </w:r>
            <w:proofErr w:type="spellStart"/>
            <w:r w:rsidRPr="008B61B0">
              <w:rPr>
                <w:color w:val="000000" w:themeColor="text1"/>
                <w:sz w:val="18"/>
                <w:szCs w:val="18"/>
              </w:rPr>
              <w:t>ogolem</w:t>
            </w:r>
            <w:proofErr w:type="spellEnd"/>
            <w:r w:rsidRPr="008B61B0">
              <w:rPr>
                <w:color w:val="000000" w:themeColor="text1"/>
                <w:sz w:val="18"/>
                <w:szCs w:val="18"/>
              </w:rPr>
              <w:t xml:space="preserve"> na 100 km^2 - 2024</w:t>
            </w:r>
          </w:p>
        </w:tc>
      </w:tr>
      <w:tr w:rsidR="008B61B0" w:rsidRPr="008B61B0" w14:paraId="4B2FEE77" w14:textId="77777777" w:rsidTr="008B61B0">
        <w:trPr>
          <w:trHeight w:val="288"/>
        </w:trPr>
        <w:tc>
          <w:tcPr>
            <w:tcW w:w="2405" w:type="dxa"/>
            <w:noWrap/>
            <w:hideMark/>
          </w:tcPr>
          <w:p w14:paraId="5A2C4925"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6FFEE99A"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x19</w:t>
            </w:r>
          </w:p>
        </w:tc>
        <w:tc>
          <w:tcPr>
            <w:tcW w:w="6090" w:type="dxa"/>
            <w:noWrap/>
            <w:hideMark/>
          </w:tcPr>
          <w:p w14:paraId="2154BEFF"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kilometry </w:t>
            </w:r>
            <w:proofErr w:type="spellStart"/>
            <w:r w:rsidRPr="008B61B0">
              <w:rPr>
                <w:color w:val="000000" w:themeColor="text1"/>
                <w:sz w:val="18"/>
                <w:szCs w:val="18"/>
              </w:rPr>
              <w:t>drog</w:t>
            </w:r>
            <w:proofErr w:type="spellEnd"/>
            <w:r w:rsidRPr="008B61B0">
              <w:rPr>
                <w:color w:val="000000" w:themeColor="text1"/>
                <w:sz w:val="18"/>
                <w:szCs w:val="18"/>
              </w:rPr>
              <w:t xml:space="preserve"> </w:t>
            </w:r>
            <w:proofErr w:type="spellStart"/>
            <w:r w:rsidRPr="008B61B0">
              <w:rPr>
                <w:color w:val="000000" w:themeColor="text1"/>
                <w:sz w:val="18"/>
                <w:szCs w:val="18"/>
              </w:rPr>
              <w:t>publiczncyh</w:t>
            </w:r>
            <w:proofErr w:type="spellEnd"/>
            <w:r w:rsidRPr="008B61B0">
              <w:rPr>
                <w:color w:val="000000" w:themeColor="text1"/>
                <w:sz w:val="18"/>
                <w:szCs w:val="18"/>
              </w:rPr>
              <w:t xml:space="preserve"> o nawierzchni twardej na 100 km^2 - 2024</w:t>
            </w:r>
          </w:p>
        </w:tc>
      </w:tr>
      <w:tr w:rsidR="008B61B0" w:rsidRPr="008B61B0" w14:paraId="04607F69" w14:textId="77777777" w:rsidTr="008B61B0">
        <w:trPr>
          <w:trHeight w:val="288"/>
        </w:trPr>
        <w:tc>
          <w:tcPr>
            <w:tcW w:w="2405" w:type="dxa"/>
            <w:noWrap/>
            <w:hideMark/>
          </w:tcPr>
          <w:p w14:paraId="08DC1D0E"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7F53630C"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x20</w:t>
            </w:r>
          </w:p>
        </w:tc>
        <w:tc>
          <w:tcPr>
            <w:tcW w:w="6090" w:type="dxa"/>
            <w:noWrap/>
            <w:hideMark/>
          </w:tcPr>
          <w:p w14:paraId="3D0BAFB5"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 (przystanki autobusowe (z trolejbusowymi) i tramwajowe, przystanki wspólne dla tramwajów i autobusów) na 100km^2 w  2024</w:t>
            </w:r>
          </w:p>
        </w:tc>
      </w:tr>
      <w:tr w:rsidR="008B61B0" w:rsidRPr="008B61B0" w14:paraId="1C242DDA" w14:textId="77777777" w:rsidTr="008B61B0">
        <w:trPr>
          <w:trHeight w:val="288"/>
        </w:trPr>
        <w:tc>
          <w:tcPr>
            <w:tcW w:w="2405" w:type="dxa"/>
            <w:noWrap/>
            <w:hideMark/>
          </w:tcPr>
          <w:p w14:paraId="05048BA8"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1A6E5B77"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x21</w:t>
            </w:r>
          </w:p>
        </w:tc>
        <w:tc>
          <w:tcPr>
            <w:tcW w:w="6090" w:type="dxa"/>
            <w:noWrap/>
            <w:hideMark/>
          </w:tcPr>
          <w:p w14:paraId="16B796E3" w14:textId="77777777" w:rsidR="008B61B0" w:rsidRPr="008B61B0" w:rsidRDefault="008B61B0" w:rsidP="008B61B0">
            <w:pPr>
              <w:pStyle w:val="Heading2"/>
              <w:rPr>
                <w:color w:val="000000" w:themeColor="text1"/>
                <w:sz w:val="18"/>
                <w:szCs w:val="18"/>
              </w:rPr>
            </w:pPr>
            <w:r w:rsidRPr="008B61B0">
              <w:rPr>
                <w:color w:val="000000" w:themeColor="text1"/>
                <w:sz w:val="18"/>
                <w:szCs w:val="18"/>
              </w:rPr>
              <w:t>długość linii komunikacji miejskiej na 100,000 mieszkańców 2024 w km</w:t>
            </w:r>
          </w:p>
        </w:tc>
      </w:tr>
      <w:tr w:rsidR="008B61B0" w:rsidRPr="008B61B0" w14:paraId="2E5D739A" w14:textId="77777777" w:rsidTr="008B61B0">
        <w:trPr>
          <w:trHeight w:val="288"/>
        </w:trPr>
        <w:tc>
          <w:tcPr>
            <w:tcW w:w="2405" w:type="dxa"/>
            <w:noWrap/>
            <w:hideMark/>
          </w:tcPr>
          <w:p w14:paraId="32FFBE31"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183027E8"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x22</w:t>
            </w:r>
          </w:p>
        </w:tc>
        <w:tc>
          <w:tcPr>
            <w:tcW w:w="6090" w:type="dxa"/>
            <w:noWrap/>
            <w:hideMark/>
          </w:tcPr>
          <w:p w14:paraId="0A77BB69" w14:textId="77777777" w:rsidR="008B61B0" w:rsidRPr="008B61B0" w:rsidRDefault="008B61B0" w:rsidP="008B61B0">
            <w:pPr>
              <w:pStyle w:val="Heading2"/>
              <w:rPr>
                <w:color w:val="000000" w:themeColor="text1"/>
                <w:sz w:val="18"/>
                <w:szCs w:val="18"/>
              </w:rPr>
            </w:pPr>
            <w:r w:rsidRPr="008B61B0">
              <w:rPr>
                <w:color w:val="000000" w:themeColor="text1"/>
                <w:sz w:val="18"/>
                <w:szCs w:val="18"/>
              </w:rPr>
              <w:t>przewozy pasażerskie na 1 mieszkańca 2024</w:t>
            </w:r>
          </w:p>
        </w:tc>
      </w:tr>
      <w:tr w:rsidR="008B61B0" w:rsidRPr="008B61B0" w14:paraId="56EC16D3" w14:textId="77777777" w:rsidTr="008B61B0">
        <w:trPr>
          <w:trHeight w:val="288"/>
        </w:trPr>
        <w:tc>
          <w:tcPr>
            <w:tcW w:w="2405" w:type="dxa"/>
            <w:noWrap/>
            <w:hideMark/>
          </w:tcPr>
          <w:p w14:paraId="5228A739"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7CA40C19"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x24</w:t>
            </w:r>
          </w:p>
        </w:tc>
        <w:tc>
          <w:tcPr>
            <w:tcW w:w="6090" w:type="dxa"/>
            <w:noWrap/>
            <w:hideMark/>
          </w:tcPr>
          <w:p w14:paraId="3C71057B" w14:textId="77777777" w:rsidR="008B61B0" w:rsidRPr="008B61B0" w:rsidRDefault="008B61B0" w:rsidP="008B61B0">
            <w:pPr>
              <w:pStyle w:val="Heading2"/>
              <w:rPr>
                <w:color w:val="000000" w:themeColor="text1"/>
                <w:sz w:val="18"/>
                <w:szCs w:val="18"/>
              </w:rPr>
            </w:pPr>
            <w:r w:rsidRPr="008B61B0">
              <w:rPr>
                <w:color w:val="000000" w:themeColor="text1"/>
                <w:sz w:val="18"/>
                <w:szCs w:val="18"/>
              </w:rPr>
              <w:t>linie kolejowe ogółem na 1000 km2 w 2024</w:t>
            </w:r>
          </w:p>
        </w:tc>
      </w:tr>
      <w:tr w:rsidR="008B61B0" w:rsidRPr="008B61B0" w14:paraId="2A7BC5D0" w14:textId="77777777" w:rsidTr="008B61B0">
        <w:trPr>
          <w:trHeight w:val="288"/>
        </w:trPr>
        <w:tc>
          <w:tcPr>
            <w:tcW w:w="2405" w:type="dxa"/>
            <w:noWrap/>
            <w:hideMark/>
          </w:tcPr>
          <w:p w14:paraId="3A348002" w14:textId="77777777" w:rsidR="008B61B0" w:rsidRPr="008B61B0" w:rsidRDefault="008B61B0" w:rsidP="008B61B0">
            <w:pPr>
              <w:pStyle w:val="Heading2"/>
              <w:rPr>
                <w:color w:val="000000" w:themeColor="text1"/>
                <w:sz w:val="18"/>
                <w:szCs w:val="18"/>
              </w:rPr>
            </w:pPr>
            <w:r w:rsidRPr="008B61B0">
              <w:rPr>
                <w:color w:val="000000" w:themeColor="text1"/>
                <w:sz w:val="18"/>
                <w:szCs w:val="18"/>
              </w:rPr>
              <w:t>INWESTYCJE</w:t>
            </w:r>
          </w:p>
        </w:tc>
        <w:tc>
          <w:tcPr>
            <w:tcW w:w="567" w:type="dxa"/>
            <w:noWrap/>
            <w:hideMark/>
          </w:tcPr>
          <w:p w14:paraId="0B1FA106"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x31</w:t>
            </w:r>
          </w:p>
        </w:tc>
        <w:tc>
          <w:tcPr>
            <w:tcW w:w="6090" w:type="dxa"/>
            <w:noWrap/>
            <w:hideMark/>
          </w:tcPr>
          <w:p w14:paraId="577123EB"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wydatki </w:t>
            </w:r>
            <w:proofErr w:type="spellStart"/>
            <w:r w:rsidRPr="008B61B0">
              <w:rPr>
                <w:color w:val="000000" w:themeColor="text1"/>
                <w:sz w:val="18"/>
                <w:szCs w:val="18"/>
              </w:rPr>
              <w:t>budzetów</w:t>
            </w:r>
            <w:proofErr w:type="spellEnd"/>
            <w:r w:rsidRPr="008B61B0">
              <w:rPr>
                <w:color w:val="000000" w:themeColor="text1"/>
                <w:sz w:val="18"/>
                <w:szCs w:val="18"/>
              </w:rPr>
              <w:t xml:space="preserve"> gmin I miast na prawach powiatu na Ochrona powietrza atmosferycznego i klimatu na 1 </w:t>
            </w:r>
            <w:proofErr w:type="spellStart"/>
            <w:r w:rsidRPr="008B61B0">
              <w:rPr>
                <w:color w:val="000000" w:themeColor="text1"/>
                <w:sz w:val="18"/>
                <w:szCs w:val="18"/>
              </w:rPr>
              <w:t>mieszkanca</w:t>
            </w:r>
            <w:proofErr w:type="spellEnd"/>
            <w:r w:rsidRPr="008B61B0">
              <w:rPr>
                <w:color w:val="000000" w:themeColor="text1"/>
                <w:sz w:val="18"/>
                <w:szCs w:val="18"/>
              </w:rPr>
              <w:t xml:space="preserve"> w 2024</w:t>
            </w:r>
          </w:p>
        </w:tc>
      </w:tr>
      <w:tr w:rsidR="008B61B0" w:rsidRPr="008B61B0" w14:paraId="7A9590F9" w14:textId="77777777" w:rsidTr="008B61B0">
        <w:trPr>
          <w:trHeight w:val="288"/>
        </w:trPr>
        <w:tc>
          <w:tcPr>
            <w:tcW w:w="2405" w:type="dxa"/>
            <w:noWrap/>
            <w:hideMark/>
          </w:tcPr>
          <w:p w14:paraId="6960956D" w14:textId="77777777" w:rsidR="008B61B0" w:rsidRPr="008B61B0" w:rsidRDefault="008B61B0" w:rsidP="008B61B0">
            <w:pPr>
              <w:pStyle w:val="Heading2"/>
              <w:rPr>
                <w:color w:val="000000" w:themeColor="text1"/>
                <w:sz w:val="18"/>
                <w:szCs w:val="18"/>
              </w:rPr>
            </w:pPr>
            <w:r w:rsidRPr="008B61B0">
              <w:rPr>
                <w:color w:val="000000" w:themeColor="text1"/>
                <w:sz w:val="18"/>
                <w:szCs w:val="18"/>
              </w:rPr>
              <w:t>STAN MATERIALNY</w:t>
            </w:r>
          </w:p>
        </w:tc>
        <w:tc>
          <w:tcPr>
            <w:tcW w:w="567" w:type="dxa"/>
            <w:noWrap/>
            <w:hideMark/>
          </w:tcPr>
          <w:p w14:paraId="395160C6"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x43</w:t>
            </w:r>
          </w:p>
        </w:tc>
        <w:tc>
          <w:tcPr>
            <w:tcW w:w="6090" w:type="dxa"/>
            <w:noWrap/>
            <w:hideMark/>
          </w:tcPr>
          <w:p w14:paraId="01FA4E2C" w14:textId="77777777" w:rsidR="008B61B0" w:rsidRPr="008B61B0" w:rsidRDefault="008B61B0" w:rsidP="008B61B0">
            <w:pPr>
              <w:pStyle w:val="Heading2"/>
              <w:rPr>
                <w:color w:val="000000" w:themeColor="text1"/>
                <w:sz w:val="18"/>
                <w:szCs w:val="18"/>
              </w:rPr>
            </w:pPr>
            <w:r w:rsidRPr="008B61B0">
              <w:rPr>
                <w:color w:val="000000" w:themeColor="text1"/>
                <w:sz w:val="18"/>
                <w:szCs w:val="18"/>
              </w:rPr>
              <w:t>Stopa promil bezrobocia w grudniu 2024</w:t>
            </w:r>
          </w:p>
        </w:tc>
      </w:tr>
      <w:tr w:rsidR="008B61B0" w:rsidRPr="008B61B0" w14:paraId="5CB1EB2D" w14:textId="77777777" w:rsidTr="008B61B0">
        <w:trPr>
          <w:trHeight w:val="288"/>
        </w:trPr>
        <w:tc>
          <w:tcPr>
            <w:tcW w:w="2405" w:type="dxa"/>
            <w:noWrap/>
            <w:hideMark/>
          </w:tcPr>
          <w:p w14:paraId="56E799FE" w14:textId="77777777" w:rsidR="008B61B0" w:rsidRPr="008B61B0" w:rsidRDefault="008B61B0" w:rsidP="008B61B0">
            <w:pPr>
              <w:pStyle w:val="Heading2"/>
              <w:rPr>
                <w:color w:val="000000" w:themeColor="text1"/>
                <w:sz w:val="18"/>
                <w:szCs w:val="18"/>
              </w:rPr>
            </w:pPr>
            <w:r w:rsidRPr="008B61B0">
              <w:rPr>
                <w:color w:val="000000" w:themeColor="text1"/>
                <w:sz w:val="18"/>
                <w:szCs w:val="18"/>
              </w:rPr>
              <w:t>STAN MATERIALNY</w:t>
            </w:r>
          </w:p>
        </w:tc>
        <w:tc>
          <w:tcPr>
            <w:tcW w:w="567" w:type="dxa"/>
            <w:noWrap/>
            <w:hideMark/>
          </w:tcPr>
          <w:p w14:paraId="0E0B87A8"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x44</w:t>
            </w:r>
          </w:p>
        </w:tc>
        <w:tc>
          <w:tcPr>
            <w:tcW w:w="6090" w:type="dxa"/>
            <w:noWrap/>
            <w:hideMark/>
          </w:tcPr>
          <w:p w14:paraId="6B5FFE76"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 BENEFICJENCI ŚRODOWISKOWEJ POMOCY SPOŁECZNEJ w promilach</w:t>
            </w:r>
          </w:p>
        </w:tc>
      </w:tr>
      <w:tr w:rsidR="008B61B0" w:rsidRPr="008B61B0" w14:paraId="5AD4E3E3" w14:textId="77777777" w:rsidTr="008B61B0">
        <w:trPr>
          <w:trHeight w:val="288"/>
        </w:trPr>
        <w:tc>
          <w:tcPr>
            <w:tcW w:w="2405" w:type="dxa"/>
            <w:noWrap/>
            <w:hideMark/>
          </w:tcPr>
          <w:p w14:paraId="3098165C" w14:textId="77777777" w:rsidR="008B61B0" w:rsidRPr="008B61B0" w:rsidRDefault="008B61B0" w:rsidP="008B61B0">
            <w:pPr>
              <w:pStyle w:val="Heading2"/>
              <w:rPr>
                <w:color w:val="000000" w:themeColor="text1"/>
                <w:sz w:val="18"/>
                <w:szCs w:val="18"/>
              </w:rPr>
            </w:pPr>
            <w:r w:rsidRPr="008B61B0">
              <w:rPr>
                <w:color w:val="000000" w:themeColor="text1"/>
                <w:sz w:val="18"/>
                <w:szCs w:val="18"/>
              </w:rPr>
              <w:t>WARUNKI BYTOWE</w:t>
            </w:r>
          </w:p>
        </w:tc>
        <w:tc>
          <w:tcPr>
            <w:tcW w:w="567" w:type="dxa"/>
            <w:noWrap/>
            <w:hideMark/>
          </w:tcPr>
          <w:p w14:paraId="559E884F"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x49</w:t>
            </w:r>
          </w:p>
        </w:tc>
        <w:tc>
          <w:tcPr>
            <w:tcW w:w="6090" w:type="dxa"/>
            <w:noWrap/>
            <w:hideMark/>
          </w:tcPr>
          <w:p w14:paraId="3DE02414" w14:textId="77777777" w:rsidR="008B61B0" w:rsidRPr="008B61B0" w:rsidRDefault="008B61B0" w:rsidP="008B61B0">
            <w:pPr>
              <w:pStyle w:val="Heading2"/>
              <w:rPr>
                <w:color w:val="000000" w:themeColor="text1"/>
                <w:sz w:val="18"/>
                <w:szCs w:val="18"/>
              </w:rPr>
            </w:pPr>
            <w:r w:rsidRPr="008B61B0">
              <w:rPr>
                <w:color w:val="000000" w:themeColor="text1"/>
                <w:sz w:val="18"/>
                <w:szCs w:val="18"/>
              </w:rPr>
              <w:t xml:space="preserve">liczba miejsc w domach studenckich w stosunku do liczby </w:t>
            </w:r>
            <w:proofErr w:type="spellStart"/>
            <w:r w:rsidRPr="008B61B0">
              <w:rPr>
                <w:color w:val="000000" w:themeColor="text1"/>
                <w:sz w:val="18"/>
                <w:szCs w:val="18"/>
              </w:rPr>
              <w:t>studentow</w:t>
            </w:r>
            <w:proofErr w:type="spellEnd"/>
            <w:r w:rsidRPr="008B61B0">
              <w:rPr>
                <w:color w:val="000000" w:themeColor="text1"/>
                <w:sz w:val="18"/>
                <w:szCs w:val="18"/>
              </w:rPr>
              <w:t xml:space="preserve"> 2024 - jaki odsetek </w:t>
            </w:r>
            <w:proofErr w:type="spellStart"/>
            <w:r w:rsidRPr="008B61B0">
              <w:rPr>
                <w:color w:val="000000" w:themeColor="text1"/>
                <w:sz w:val="18"/>
                <w:szCs w:val="18"/>
              </w:rPr>
              <w:t>studentow</w:t>
            </w:r>
            <w:proofErr w:type="spellEnd"/>
            <w:r w:rsidRPr="008B61B0">
              <w:rPr>
                <w:color w:val="000000" w:themeColor="text1"/>
                <w:sz w:val="18"/>
                <w:szCs w:val="18"/>
              </w:rPr>
              <w:t xml:space="preserve"> domy </w:t>
            </w:r>
            <w:proofErr w:type="spellStart"/>
            <w:r w:rsidRPr="008B61B0">
              <w:rPr>
                <w:color w:val="000000" w:themeColor="text1"/>
                <w:sz w:val="18"/>
                <w:szCs w:val="18"/>
              </w:rPr>
              <w:t>domy</w:t>
            </w:r>
            <w:proofErr w:type="spellEnd"/>
            <w:r w:rsidRPr="008B61B0">
              <w:rPr>
                <w:color w:val="000000" w:themeColor="text1"/>
                <w:sz w:val="18"/>
                <w:szCs w:val="18"/>
              </w:rPr>
              <w:t xml:space="preserve"> studenckie są w stanie pomieścić</w:t>
            </w:r>
          </w:p>
        </w:tc>
      </w:tr>
      <w:tr w:rsidR="008B61B0" w:rsidRPr="008B61B0" w14:paraId="7D28445A" w14:textId="77777777" w:rsidTr="008B61B0">
        <w:trPr>
          <w:trHeight w:val="288"/>
        </w:trPr>
        <w:tc>
          <w:tcPr>
            <w:tcW w:w="2405" w:type="dxa"/>
            <w:noWrap/>
            <w:hideMark/>
          </w:tcPr>
          <w:p w14:paraId="34376663" w14:textId="77777777" w:rsidR="008B61B0" w:rsidRPr="008B61B0" w:rsidRDefault="008B61B0" w:rsidP="008B61B0">
            <w:pPr>
              <w:pStyle w:val="Heading2"/>
              <w:rPr>
                <w:color w:val="000000" w:themeColor="text1"/>
                <w:sz w:val="18"/>
                <w:szCs w:val="18"/>
              </w:rPr>
            </w:pPr>
            <w:r w:rsidRPr="008B61B0">
              <w:rPr>
                <w:color w:val="000000" w:themeColor="text1"/>
                <w:sz w:val="18"/>
                <w:szCs w:val="18"/>
              </w:rPr>
              <w:t>WARUNKI BYTOWE</w:t>
            </w:r>
          </w:p>
        </w:tc>
        <w:tc>
          <w:tcPr>
            <w:tcW w:w="567" w:type="dxa"/>
            <w:noWrap/>
            <w:hideMark/>
          </w:tcPr>
          <w:p w14:paraId="4C5FC585" w14:textId="77777777" w:rsidR="008B61B0" w:rsidRPr="008B61B0" w:rsidRDefault="008B61B0" w:rsidP="008B61B0">
            <w:pPr>
              <w:pStyle w:val="Heading2"/>
              <w:rPr>
                <w:color w:val="000000" w:themeColor="text1"/>
                <w:sz w:val="18"/>
                <w:szCs w:val="18"/>
              </w:rPr>
            </w:pPr>
            <w:r w:rsidRPr="008B61B0">
              <w:rPr>
                <w:color w:val="000000" w:themeColor="text1"/>
                <w:sz w:val="18"/>
                <w:szCs w:val="18"/>
              </w:rPr>
              <w:t>x50</w:t>
            </w:r>
          </w:p>
        </w:tc>
        <w:tc>
          <w:tcPr>
            <w:tcW w:w="6090" w:type="dxa"/>
            <w:noWrap/>
            <w:hideMark/>
          </w:tcPr>
          <w:p w14:paraId="11296C31" w14:textId="77777777" w:rsidR="008B61B0" w:rsidRPr="008B61B0" w:rsidRDefault="008B61B0" w:rsidP="008B61B0">
            <w:pPr>
              <w:pStyle w:val="Heading2"/>
              <w:rPr>
                <w:color w:val="000000" w:themeColor="text1"/>
                <w:sz w:val="18"/>
                <w:szCs w:val="18"/>
              </w:rPr>
            </w:pPr>
            <w:r w:rsidRPr="008B61B0">
              <w:rPr>
                <w:color w:val="000000" w:themeColor="text1"/>
                <w:sz w:val="18"/>
                <w:szCs w:val="18"/>
              </w:rPr>
              <w:t>studenci korzystający z domów studenckich w % ogółu studentów 2024</w:t>
            </w:r>
          </w:p>
        </w:tc>
      </w:tr>
    </w:tbl>
    <w:p w14:paraId="6920061E" w14:textId="77777777" w:rsidR="008B61B0" w:rsidRDefault="008B61B0" w:rsidP="005B2FAC">
      <w:pPr>
        <w:pStyle w:val="Heading2"/>
        <w:rPr>
          <w:sz w:val="18"/>
          <w:szCs w:val="18"/>
        </w:rPr>
      </w:pPr>
    </w:p>
    <w:p w14:paraId="5AA39B68" w14:textId="518DD95E" w:rsidR="00C11670" w:rsidRDefault="00C11670" w:rsidP="00C11670">
      <w:r w:rsidRPr="00C11670">
        <w:t>Wyselekcjonowany zestaw 16 zmiennych diagnostycznych charakteryzuje się wysoką wszechstronnością, łącząc kluczowe aspekty demograficzne, gospodarcze oraz infrastrukturalne, co pozwala na wielowymiarową ocenę i syntetyczną redukcję stopnia rozwoju badanych jednostek regionalnych za pomocą algorytmu PCA.</w:t>
      </w:r>
    </w:p>
    <w:p w14:paraId="1FAD45AF" w14:textId="77777777" w:rsidR="00C11670" w:rsidRDefault="00C11670" w:rsidP="00C11670"/>
    <w:p w14:paraId="78BB2881" w14:textId="262AFFC9" w:rsidR="00FB5B55" w:rsidRDefault="005B2FAC" w:rsidP="005B2FAC">
      <w:pPr>
        <w:pStyle w:val="Heading2"/>
      </w:pPr>
      <w:r>
        <w:lastRenderedPageBreak/>
        <w:t>Wyniki działania algorytmu PCA</w:t>
      </w:r>
    </w:p>
    <w:p w14:paraId="6D43F68F" w14:textId="06D87BED" w:rsidR="005B2FAC" w:rsidRDefault="000C0B01" w:rsidP="00FB5B55">
      <w:r>
        <w:t>Po wykonaniu algorytmu PCA otrzymano rezultat widoczny w tabeli 1.</w:t>
      </w:r>
    </w:p>
    <w:p w14:paraId="735DD8D2" w14:textId="1A68C85D" w:rsidR="000C0B01" w:rsidRDefault="000C0B01" w:rsidP="000C0B01">
      <w:pPr>
        <w:pStyle w:val="Caption"/>
        <w:keepNext/>
      </w:pPr>
      <w:r>
        <w:t xml:space="preserve">Tabela </w:t>
      </w:r>
      <w:fldSimple w:instr=" SEQ Tabela \* ARABIC ">
        <w:r>
          <w:rPr>
            <w:noProof/>
          </w:rPr>
          <w:t>1</w:t>
        </w:r>
      </w:fldSimple>
      <w:r>
        <w:t xml:space="preserve"> Wyniki prezentujące, w jak dużym stopniu dany wymiar wyjaśnia oryginalne dane</w:t>
      </w:r>
    </w:p>
    <w:tbl>
      <w:tblPr>
        <w:tblW w:w="0" w:type="auto"/>
        <w:tblCellSpacing w:w="15" w:type="dxa"/>
        <w:tblCellMar>
          <w:left w:w="0" w:type="dxa"/>
          <w:right w:w="0" w:type="dxa"/>
        </w:tblCellMar>
        <w:tblLook w:val="04A0" w:firstRow="1" w:lastRow="0" w:firstColumn="1" w:lastColumn="0" w:noHBand="0" w:noVBand="1"/>
      </w:tblPr>
      <w:tblGrid>
        <w:gridCol w:w="1302"/>
        <w:gridCol w:w="2821"/>
        <w:gridCol w:w="2173"/>
        <w:gridCol w:w="2760"/>
      </w:tblGrid>
      <w:tr w:rsidR="000C0B01" w:rsidRPr="000C0B01" w14:paraId="694A64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B9532"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Wymiar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75411"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Wartość własna (</w:t>
            </w:r>
            <w:proofErr w:type="spellStart"/>
            <w:r w:rsidRPr="000C0B01">
              <w:rPr>
                <w:rFonts w:ascii="Arial" w:eastAsia="Times New Roman" w:hAnsi="Arial" w:cs="Arial"/>
                <w:b/>
                <w:bCs/>
                <w:color w:val="1F1F1F"/>
                <w:kern w:val="0"/>
                <w:bdr w:val="none" w:sz="0" w:space="0" w:color="auto" w:frame="1"/>
                <w:lang w:eastAsia="pl-PL"/>
                <w14:ligatures w14:val="none"/>
              </w:rPr>
              <w:t>Eigenvalue</w:t>
            </w:r>
            <w:proofErr w:type="spellEnd"/>
            <w:r w:rsidRPr="000C0B01">
              <w:rPr>
                <w:rFonts w:ascii="Arial" w:eastAsia="Times New Roman" w:hAnsi="Arial" w:cs="Arial"/>
                <w:b/>
                <w:bCs/>
                <w:color w:val="1F1F1F"/>
                <w:kern w:val="0"/>
                <w:bdr w:val="none" w:sz="0" w:space="0" w:color="auto" w:frame="1"/>
                <w:lang w:eastAsia="pl-P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0CCCC"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Procent wariancji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D7690"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Skumulowany % wariancji</w:t>
            </w:r>
          </w:p>
        </w:tc>
      </w:tr>
      <w:tr w:rsidR="000C0B01" w:rsidRPr="000C0B01" w14:paraId="2CCB9B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BB0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70C4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7.84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FE37A"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48.97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6A2AD"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48.97</w:t>
            </w:r>
          </w:p>
        </w:tc>
      </w:tr>
      <w:tr w:rsidR="000C0B01" w:rsidRPr="000C0B01" w14:paraId="59F1A0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B9B2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D0B2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1B00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17.07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B0D15"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66.04</w:t>
            </w:r>
          </w:p>
        </w:tc>
      </w:tr>
      <w:tr w:rsidR="000C0B01" w:rsidRPr="000C0B01" w14:paraId="695788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2E01"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2AF8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4E613"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B2F6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78.04</w:t>
            </w:r>
          </w:p>
        </w:tc>
      </w:tr>
      <w:tr w:rsidR="000C0B01" w:rsidRPr="000C0B01" w14:paraId="45F35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F1B4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7907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E4594"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00D83"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86.46</w:t>
            </w:r>
          </w:p>
        </w:tc>
      </w:tr>
      <w:tr w:rsidR="000C0B01" w:rsidRPr="000C0B01" w14:paraId="48FCF7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215E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F305D"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F136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3.79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882C1"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90.25</w:t>
            </w:r>
          </w:p>
        </w:tc>
      </w:tr>
      <w:tr w:rsidR="000C0B01" w:rsidRPr="000C0B01" w14:paraId="590DC8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69451"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4AC23"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C83D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2.96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ADA1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93.21</w:t>
            </w:r>
          </w:p>
        </w:tc>
      </w:tr>
      <w:tr w:rsidR="000C0B01" w:rsidRPr="000C0B01" w14:paraId="16B619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352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1D5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97C55"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2.08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3934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95.29</w:t>
            </w:r>
          </w:p>
        </w:tc>
      </w:tr>
      <w:tr w:rsidR="000C0B01" w:rsidRPr="000C0B01" w14:paraId="3FC8CC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1DD"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E9F6D"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6E0E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EE2A0"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96.94</w:t>
            </w:r>
          </w:p>
        </w:tc>
      </w:tr>
      <w:tr w:rsidR="000C0B01" w:rsidRPr="000C0B01" w14:paraId="3B0E90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6285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66FCB"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B7E9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4110A"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98.11</w:t>
            </w:r>
          </w:p>
        </w:tc>
      </w:tr>
      <w:tr w:rsidR="000C0B01" w:rsidRPr="000C0B01" w14:paraId="3813B4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DBDC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77694"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CF76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5E33"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98.87</w:t>
            </w:r>
          </w:p>
        </w:tc>
      </w:tr>
      <w:tr w:rsidR="000C0B01" w:rsidRPr="000C0B01" w14:paraId="606C9B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25FE2"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5590F"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68D3B"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50924"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99.49</w:t>
            </w:r>
          </w:p>
        </w:tc>
      </w:tr>
      <w:tr w:rsidR="000C0B01" w:rsidRPr="000C0B01" w14:paraId="2DE122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576BC"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8DC46"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11F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914D6"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99.76</w:t>
            </w:r>
          </w:p>
        </w:tc>
      </w:tr>
      <w:tr w:rsidR="000C0B01" w:rsidRPr="000C0B01" w14:paraId="5EF085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84E8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96C3C"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EF72"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C45B"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99.94</w:t>
            </w:r>
          </w:p>
        </w:tc>
      </w:tr>
      <w:tr w:rsidR="000C0B01" w:rsidRPr="000C0B01" w14:paraId="77EFE3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4A3D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E948D"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9B1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BD890"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100.00</w:t>
            </w:r>
          </w:p>
        </w:tc>
      </w:tr>
      <w:tr w:rsidR="000C0B01" w:rsidRPr="000C0B01" w14:paraId="29CCBC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FFCC1"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054A7"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C4AA9"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8ED85"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100.00</w:t>
            </w:r>
          </w:p>
        </w:tc>
      </w:tr>
      <w:tr w:rsidR="000C0B01" w:rsidRPr="000C0B01" w14:paraId="7C087F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EAC30"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06C86"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04EA2"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83A8" w14:textId="77777777" w:rsidR="000C0B01" w:rsidRPr="000C0B01" w:rsidRDefault="000C0B01" w:rsidP="000C0B01">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100.00</w:t>
            </w:r>
          </w:p>
        </w:tc>
      </w:tr>
    </w:tbl>
    <w:p w14:paraId="0B3251F5" w14:textId="77777777" w:rsidR="000C0B01" w:rsidRDefault="000C0B01" w:rsidP="00FB5B55"/>
    <w:p w14:paraId="1C675DC4" w14:textId="29D9FC57" w:rsidR="000C0B01" w:rsidRDefault="000C0B01" w:rsidP="00FB5B55">
      <w:r w:rsidRPr="000C0B01">
        <w:t>Przeprowadzona analiza składowych głównych wykazała silną redukowalność przestrzeni cech. Pierwsze cztery główne składowe kumulują łącznie 86,46% całkowitej wariancji zawartej w pierwotnym zbiorze 16 zmiennych.</w:t>
      </w:r>
      <w:r>
        <w:t xml:space="preserve"> </w:t>
      </w:r>
      <w:r w:rsidR="00FC7932">
        <w:t>Dodatkowo potwierdza to rysunek 3 przedstawiający korelację między nowo stworzonymi wymiarami PCA, a oryginalnymi danymi.</w:t>
      </w:r>
    </w:p>
    <w:p w14:paraId="71B1ABA2" w14:textId="77777777" w:rsidR="00A22856" w:rsidRDefault="00A22856" w:rsidP="00FB5B55"/>
    <w:p w14:paraId="29D87CEC" w14:textId="77777777" w:rsidR="00FC7932" w:rsidRDefault="00A22856" w:rsidP="00FC7932">
      <w:pPr>
        <w:keepNext/>
      </w:pPr>
      <w:r w:rsidRPr="00A22856">
        <w:rPr>
          <w:noProof/>
        </w:rPr>
        <w:drawing>
          <wp:inline distT="0" distB="0" distL="0" distR="0" wp14:anchorId="46A7F45F" wp14:editId="1327BFDE">
            <wp:extent cx="5760720" cy="3908425"/>
            <wp:effectExtent l="0" t="0" r="0" b="0"/>
            <wp:docPr id="5524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4141" name=""/>
                    <pic:cNvPicPr/>
                  </pic:nvPicPr>
                  <pic:blipFill>
                    <a:blip r:embed="rId8"/>
                    <a:stretch>
                      <a:fillRect/>
                    </a:stretch>
                  </pic:blipFill>
                  <pic:spPr>
                    <a:xfrm>
                      <a:off x="0" y="0"/>
                      <a:ext cx="5760720" cy="3908425"/>
                    </a:xfrm>
                    <a:prstGeom prst="rect">
                      <a:avLst/>
                    </a:prstGeom>
                  </pic:spPr>
                </pic:pic>
              </a:graphicData>
            </a:graphic>
          </wp:inline>
        </w:drawing>
      </w:r>
    </w:p>
    <w:p w14:paraId="05E78D25" w14:textId="327804C4" w:rsidR="00A22856" w:rsidRDefault="00FC7932" w:rsidP="00FC7932">
      <w:pPr>
        <w:pStyle w:val="Caption"/>
      </w:pPr>
      <w:r>
        <w:t xml:space="preserve">Rysunek </w:t>
      </w:r>
      <w:fldSimple w:instr=" SEQ Rysunek \* ARABIC ">
        <w:r w:rsidR="00BC05C1">
          <w:rPr>
            <w:noProof/>
          </w:rPr>
          <w:t>3</w:t>
        </w:r>
      </w:fldSimple>
      <w:r>
        <w:t xml:space="preserve"> Macierz korelacji między oryginalnymi danymi, a wymiarami PCA</w:t>
      </w:r>
    </w:p>
    <w:p w14:paraId="048DC8B0" w14:textId="3BCD322F" w:rsidR="000517B8" w:rsidRDefault="000517B8" w:rsidP="000517B8">
      <w:r>
        <w:t>Oprócz samej redukcji liczby cech, szczegółowej analizie poddano ładunki czynnikowe budujące poszczególne składowe, co pozwoliło na merytoryczną interpretację wyodrębnionych wymiarów. W analizie statystycznej przyjmuje się, że zmienne o ładunkach powyżej 0.5 (co do wartości bezwzględnej) mają kluczowy wpływ na kształt danej składowej. Pierwsza składowa główna (PC1) skupia w sobie największy budżet informacji i wykazuje ekstremalnie silne korelacje z większością zmiennych bazowych. Ze względu na silne, ujemne powiązanie z gęstością zaludnienia oraz infrastrukturą drogową, przy jednoczesnym dodatnim skorelowaniu z poziomem bezrobocia i pomocy społecznej, składowej PC1 przypisano właściwość ogólnego poziomu urbanizacji oraz rozwoju strukturalno-gospodarczego regionu.</w:t>
      </w:r>
    </w:p>
    <w:p w14:paraId="4CC54946" w14:textId="4E58B2B9" w:rsidR="000517B8" w:rsidRDefault="000517B8" w:rsidP="000517B8">
      <w:r>
        <w:t xml:space="preserve">Z kolei druga składowa główna (PC2) charakteryzuje się ogólnie niższymi ładunkami w skali całego zbioru, jednak wyraźnie przejmuje dominującą rolę informacyjną w obszarach, które miały mniejsze znaczenie dla PC1. Najwyższe współczynniki korelacji dla PC2 odnotowano dla zmiennych x09, x13, x20 oraz x22, które reprezentują odpowiednio: liczbę studentów na 1000 ludności, dochody budżetowe jednostek, gęstość infrastruktury przystankowej oraz wielkość przewozów pasażerskich. Na tej podstawie można wnioskować, że wymiar PC2 identyfikuje </w:t>
      </w:r>
      <w:proofErr w:type="spellStart"/>
      <w:r>
        <w:t>podaspekt</w:t>
      </w:r>
      <w:proofErr w:type="spellEnd"/>
      <w:r>
        <w:t xml:space="preserve"> struktury regionalnej, który można określić jako potencjał akademicko-gospodarczy oraz stopień rozwoju mobilności miejskiej.</w:t>
      </w:r>
    </w:p>
    <w:p w14:paraId="77544D38" w14:textId="5197EF54" w:rsidR="001D5069" w:rsidRDefault="001D5069" w:rsidP="001D5069">
      <w:pPr>
        <w:pStyle w:val="Heading2"/>
      </w:pPr>
      <w:r>
        <w:lastRenderedPageBreak/>
        <w:t>Wybór wymiarów</w:t>
      </w:r>
    </w:p>
    <w:p w14:paraId="0978084E" w14:textId="16FF1F6D" w:rsidR="00BC05C1" w:rsidRDefault="00BC05C1" w:rsidP="001D5069">
      <w:r w:rsidRPr="00BC05C1">
        <w:t>W celu wyznaczenia optymalnej liczby składowych głównych, które powinny zostać zatrzymane w modelu, przeanalizowano kilka alternatywnych podejść badawczych. Każde z nich charakteryzuje się odmiennymi zaletami oraz ograniczeniami.</w:t>
      </w:r>
    </w:p>
    <w:p w14:paraId="388450B8" w14:textId="212D21E1" w:rsidR="00BC05C1" w:rsidRDefault="00BC05C1" w:rsidP="001D5069">
      <w:r w:rsidRPr="00BC05C1">
        <w:t>Najpowszechniej stosowaną procedurą jest metoda osypiska (tzw. metoda łokcia), polegająca na wizualnej ocenie wykresu i wskazaniu punktu, w którym następuje najsilniejsze załamanie krzywej wartości własnych. Główną wadą tego podejścia jest jego wysoka subiektywność, ponieważ różni analitycy mogą odmiennie interpretować ten sam wykres. Na przykładzie badanych danych tzw. łokieć można zaobserwować zarówno już przy składowej PC2, jak i dopiero przy PC5. Wizualny wybór oscyluje zatem w szerokim przedziale od dwóch do pięciu wymiarów, co uniemożliwia podjęcie jednoznacznej decyzji.</w:t>
      </w:r>
    </w:p>
    <w:p w14:paraId="5F0C9035" w14:textId="7B89F079" w:rsidR="00BC05C1" w:rsidRDefault="00BC05C1" w:rsidP="001D5069">
      <w:r w:rsidRPr="00BC05C1">
        <w:t>Kolejnym podejściem jest tradycyjne kryterium Kaisera, które zakłada zatrzymanie wyłącznie tych składowych, których wartość własna (</w:t>
      </w:r>
      <w:proofErr w:type="spellStart"/>
      <w:r w:rsidRPr="00BC05C1">
        <w:t>eigenvalue</w:t>
      </w:r>
      <w:proofErr w:type="spellEnd"/>
      <w:r w:rsidRPr="00BC05C1">
        <w:t xml:space="preserve">) przekracza 1. Zaletą tej metody jest jej prostota oraz wysoka skuteczność w standardowych zbiorach danych. Słabą stroną kryterium Kaisera jest jednak jego wrażliwość na szum informacyjny. Jeśli dane wejściowe będą wykazywały wysoki stopień losowej zmienności lub będą zawierały zmienne słabo skorelowane, kryterium to może błędnie wskazać konieczność zatrzymania większej liczby wymiarów, niż jest to merytorycznie uzasadnione. Na rysunku </w:t>
      </w:r>
      <w:r>
        <w:t>4</w:t>
      </w:r>
      <w:r w:rsidRPr="00BC05C1">
        <w:t xml:space="preserve"> przedstawiono wartości własne kolejnych wymiarów, gdzie granica kryterium Kaisera została oznaczona czerwoną, poziomą linią przerywaną.</w:t>
      </w:r>
    </w:p>
    <w:p w14:paraId="5C7EA46B" w14:textId="204C9A67" w:rsidR="00BC05C1" w:rsidRDefault="00BC05C1" w:rsidP="001D5069">
      <w:r w:rsidRPr="00BC05C1">
        <w:t xml:space="preserve">Najbardziej efektywną i odporną na szum losowy metodą okazała się analiza równoległa Horna. Istota tej procedury polega na generowaniu przy użyciu symulacji Monte Carlo N-krotnych, sztucznych zbiorów danych wypełnionych liczbami całkowicie losowymi, dla których następnie oblicza się teoretyczne wartości własne. Pozwala to na precyzyjne odcięcie składowych reprezentujących wyłącznie przypadkowy szum. Na rysunku </w:t>
      </w:r>
      <w:r>
        <w:t>5</w:t>
      </w:r>
      <w:r w:rsidRPr="00BC05C1">
        <w:t xml:space="preserve"> zaprezentowano wyniki analizy Horna w dwóch wariantach: opartym na wartości średniej dla każdego wymiaru oraz na wartości 95. </w:t>
      </w:r>
      <w:proofErr w:type="spellStart"/>
      <w:r w:rsidRPr="00BC05C1">
        <w:t>percentyla</w:t>
      </w:r>
      <w:proofErr w:type="spellEnd"/>
      <w:r w:rsidRPr="00BC05C1">
        <w:t xml:space="preserve">. Wariant wykorzystujący 95. </w:t>
      </w:r>
      <w:proofErr w:type="spellStart"/>
      <w:r w:rsidRPr="00BC05C1">
        <w:t>percentyl</w:t>
      </w:r>
      <w:proofErr w:type="spellEnd"/>
      <w:r w:rsidRPr="00BC05C1">
        <w:t xml:space="preserve"> jest bardziej restrykcyjny, ponieważ wymaga, aby rzeczywista wartość własna była wyższa od aż 95% wyników wygenerowanych czysto losowo, co minimalizuje ryzyko zakwalifikowania do modelu składowych niemających realnego uzasadnienia empirycznego.</w:t>
      </w:r>
    </w:p>
    <w:p w14:paraId="6FAEB016" w14:textId="4C89FD45" w:rsidR="00BC05C1" w:rsidRDefault="00BC05C1" w:rsidP="001D5069">
      <w:r>
        <w:t>Poniżej przedstawiam wyniki każdego z podejść w formie tabelarycznej.</w:t>
      </w:r>
    </w:p>
    <w:tbl>
      <w:tblPr>
        <w:tblStyle w:val="TableGrid"/>
        <w:tblW w:w="0" w:type="auto"/>
        <w:jc w:val="center"/>
        <w:tblLook w:val="04A0" w:firstRow="1" w:lastRow="0" w:firstColumn="1" w:lastColumn="0" w:noHBand="0" w:noVBand="1"/>
      </w:tblPr>
      <w:tblGrid>
        <w:gridCol w:w="2265"/>
        <w:gridCol w:w="2265"/>
        <w:gridCol w:w="2266"/>
        <w:gridCol w:w="2266"/>
      </w:tblGrid>
      <w:tr w:rsidR="00BC05C1" w14:paraId="17F3E122" w14:textId="77777777" w:rsidTr="00BC05C1">
        <w:trPr>
          <w:jc w:val="center"/>
        </w:trPr>
        <w:tc>
          <w:tcPr>
            <w:tcW w:w="2265" w:type="dxa"/>
          </w:tcPr>
          <w:p w14:paraId="53BBD658" w14:textId="3BF580D4" w:rsidR="00BC05C1" w:rsidRDefault="00BC05C1" w:rsidP="00BC05C1">
            <w:pPr>
              <w:jc w:val="center"/>
            </w:pPr>
            <w:r>
              <w:t>Metoda osypiska</w:t>
            </w:r>
          </w:p>
        </w:tc>
        <w:tc>
          <w:tcPr>
            <w:tcW w:w="2265" w:type="dxa"/>
          </w:tcPr>
          <w:p w14:paraId="681ACA34" w14:textId="36CABCD8" w:rsidR="00BC05C1" w:rsidRDefault="00BC05C1" w:rsidP="00BC05C1">
            <w:pPr>
              <w:jc w:val="center"/>
            </w:pPr>
            <w:r>
              <w:t xml:space="preserve">Kryterium </w:t>
            </w:r>
            <w:proofErr w:type="spellStart"/>
            <w:r>
              <w:t>Kraisera</w:t>
            </w:r>
            <w:proofErr w:type="spellEnd"/>
          </w:p>
        </w:tc>
        <w:tc>
          <w:tcPr>
            <w:tcW w:w="2266" w:type="dxa"/>
          </w:tcPr>
          <w:p w14:paraId="66CC1DBB" w14:textId="69FF611C" w:rsidR="00BC05C1" w:rsidRDefault="00BC05C1" w:rsidP="00BC05C1">
            <w:pPr>
              <w:jc w:val="center"/>
            </w:pPr>
            <w:r>
              <w:t>Analiza Horna (Średnia)</w:t>
            </w:r>
          </w:p>
        </w:tc>
        <w:tc>
          <w:tcPr>
            <w:tcW w:w="2266" w:type="dxa"/>
          </w:tcPr>
          <w:p w14:paraId="3F9D7DE7" w14:textId="02CD4375" w:rsidR="00BC05C1" w:rsidRDefault="00BC05C1" w:rsidP="00BC05C1">
            <w:pPr>
              <w:jc w:val="center"/>
            </w:pPr>
            <w:r>
              <w:t xml:space="preserve">Analiza Horna (95 </w:t>
            </w:r>
            <w:proofErr w:type="spellStart"/>
            <w:r>
              <w:t>percentyl</w:t>
            </w:r>
            <w:proofErr w:type="spellEnd"/>
            <w:r>
              <w:t>)</w:t>
            </w:r>
          </w:p>
        </w:tc>
      </w:tr>
      <w:tr w:rsidR="00BC05C1" w14:paraId="167F4770" w14:textId="77777777" w:rsidTr="00BC05C1">
        <w:trPr>
          <w:jc w:val="center"/>
        </w:trPr>
        <w:tc>
          <w:tcPr>
            <w:tcW w:w="2265" w:type="dxa"/>
          </w:tcPr>
          <w:p w14:paraId="0210A382" w14:textId="1524738B" w:rsidR="00BC05C1" w:rsidRDefault="00BC05C1" w:rsidP="00BC05C1">
            <w:pPr>
              <w:jc w:val="center"/>
            </w:pPr>
            <w:r>
              <w:t>2 lub 5</w:t>
            </w:r>
          </w:p>
        </w:tc>
        <w:tc>
          <w:tcPr>
            <w:tcW w:w="2265" w:type="dxa"/>
          </w:tcPr>
          <w:p w14:paraId="535D50A6" w14:textId="32716AC5" w:rsidR="00BC05C1" w:rsidRDefault="00BC05C1" w:rsidP="00BC05C1">
            <w:pPr>
              <w:jc w:val="center"/>
            </w:pPr>
            <w:r>
              <w:t>4</w:t>
            </w:r>
          </w:p>
        </w:tc>
        <w:tc>
          <w:tcPr>
            <w:tcW w:w="2266" w:type="dxa"/>
          </w:tcPr>
          <w:p w14:paraId="3DEBC068" w14:textId="215D0EB5" w:rsidR="00BC05C1" w:rsidRDefault="00F0095D" w:rsidP="00BC05C1">
            <w:pPr>
              <w:jc w:val="center"/>
            </w:pPr>
            <w:r>
              <w:t>1</w:t>
            </w:r>
          </w:p>
        </w:tc>
        <w:tc>
          <w:tcPr>
            <w:tcW w:w="2266" w:type="dxa"/>
          </w:tcPr>
          <w:p w14:paraId="184126EE" w14:textId="30EBD8D1" w:rsidR="00BC05C1" w:rsidRDefault="00BC05C1" w:rsidP="00BC05C1">
            <w:pPr>
              <w:jc w:val="center"/>
            </w:pPr>
            <w:r>
              <w:t>1</w:t>
            </w:r>
          </w:p>
        </w:tc>
      </w:tr>
    </w:tbl>
    <w:p w14:paraId="485C9AA5" w14:textId="77777777" w:rsidR="00BC05C1" w:rsidRPr="001D5069" w:rsidRDefault="00BC05C1" w:rsidP="001D5069"/>
    <w:p w14:paraId="31852D3B" w14:textId="77777777" w:rsidR="00FC7932" w:rsidRDefault="00A22856" w:rsidP="00FC7932">
      <w:pPr>
        <w:keepNext/>
      </w:pPr>
      <w:r w:rsidRPr="00A22856">
        <w:rPr>
          <w:noProof/>
        </w:rPr>
        <w:lastRenderedPageBreak/>
        <w:drawing>
          <wp:inline distT="0" distB="0" distL="0" distR="0" wp14:anchorId="2BC279DD" wp14:editId="7F76255E">
            <wp:extent cx="5760720" cy="3829685"/>
            <wp:effectExtent l="0" t="0" r="0" b="0"/>
            <wp:docPr id="18145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76010" name=""/>
                    <pic:cNvPicPr/>
                  </pic:nvPicPr>
                  <pic:blipFill>
                    <a:blip r:embed="rId9"/>
                    <a:stretch>
                      <a:fillRect/>
                    </a:stretch>
                  </pic:blipFill>
                  <pic:spPr>
                    <a:xfrm>
                      <a:off x="0" y="0"/>
                      <a:ext cx="5760720" cy="3829685"/>
                    </a:xfrm>
                    <a:prstGeom prst="rect">
                      <a:avLst/>
                    </a:prstGeom>
                  </pic:spPr>
                </pic:pic>
              </a:graphicData>
            </a:graphic>
          </wp:inline>
        </w:drawing>
      </w:r>
    </w:p>
    <w:p w14:paraId="5EDF552C" w14:textId="000454C8" w:rsidR="00A22856" w:rsidRDefault="00FC7932" w:rsidP="00F0095D">
      <w:pPr>
        <w:pStyle w:val="Caption"/>
      </w:pPr>
      <w:r>
        <w:t xml:space="preserve">Rysunek </w:t>
      </w:r>
      <w:fldSimple w:instr=" SEQ Rysunek \* ARABIC ">
        <w:r w:rsidR="00BC05C1">
          <w:rPr>
            <w:noProof/>
          </w:rPr>
          <w:t>4</w:t>
        </w:r>
      </w:fldSimple>
      <w:r>
        <w:t xml:space="preserve"> Wykres przedstawiający kolejne wartości własne oraz kryterium </w:t>
      </w:r>
      <w:proofErr w:type="spellStart"/>
      <w:r>
        <w:t>Kraisera</w:t>
      </w:r>
      <w:proofErr w:type="spellEnd"/>
      <w:r>
        <w:t xml:space="preserve"> </w:t>
      </w:r>
      <m:oMath>
        <m:r>
          <w:rPr>
            <w:rFonts w:ascii="Cambria Math" w:hAnsi="Cambria Math"/>
          </w:rPr>
          <m:t>λ&gt;1</m:t>
        </m:r>
      </m:oMath>
    </w:p>
    <w:p w14:paraId="1E9BB4A3" w14:textId="77777777" w:rsidR="00A22856" w:rsidRDefault="00A22856" w:rsidP="00FB5B55"/>
    <w:p w14:paraId="29B9CF2E" w14:textId="77777777" w:rsidR="00BC05C1" w:rsidRDefault="00A22856" w:rsidP="00BC05C1">
      <w:pPr>
        <w:keepNext/>
      </w:pPr>
      <w:r w:rsidRPr="00A22856">
        <w:rPr>
          <w:noProof/>
        </w:rPr>
        <w:drawing>
          <wp:inline distT="0" distB="0" distL="0" distR="0" wp14:anchorId="453662C8" wp14:editId="0C67AA7E">
            <wp:extent cx="5448300" cy="3707270"/>
            <wp:effectExtent l="0" t="0" r="0" b="7620"/>
            <wp:docPr id="189526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9596" name=""/>
                    <pic:cNvPicPr/>
                  </pic:nvPicPr>
                  <pic:blipFill>
                    <a:blip r:embed="rId10"/>
                    <a:stretch>
                      <a:fillRect/>
                    </a:stretch>
                  </pic:blipFill>
                  <pic:spPr>
                    <a:xfrm>
                      <a:off x="0" y="0"/>
                      <a:ext cx="5452124" cy="3709872"/>
                    </a:xfrm>
                    <a:prstGeom prst="rect">
                      <a:avLst/>
                    </a:prstGeom>
                  </pic:spPr>
                </pic:pic>
              </a:graphicData>
            </a:graphic>
          </wp:inline>
        </w:drawing>
      </w:r>
    </w:p>
    <w:p w14:paraId="44097AA5" w14:textId="028777F0" w:rsidR="00A22856" w:rsidRDefault="00BC05C1" w:rsidP="00BC05C1">
      <w:pPr>
        <w:pStyle w:val="Caption"/>
      </w:pPr>
      <w:r>
        <w:t xml:space="preserve">Rysunek </w:t>
      </w:r>
      <w:fldSimple w:instr=" SEQ Rysunek \* ARABIC ">
        <w:r>
          <w:rPr>
            <w:noProof/>
          </w:rPr>
          <w:t>5</w:t>
        </w:r>
      </w:fldSimple>
      <w:r>
        <w:t xml:space="preserve"> Wykres przedstawiający wyniki wszystkich analiz wyboru wymiarów PCA</w:t>
      </w:r>
    </w:p>
    <w:p w14:paraId="4DE3C93C" w14:textId="678046C3" w:rsidR="00F0095D" w:rsidRDefault="007850E2" w:rsidP="00F0095D">
      <w:r w:rsidRPr="007850E2">
        <w:lastRenderedPageBreak/>
        <w:t xml:space="preserve">Analiza uzyskanych rezultatów prowadzi do niejednoznacznych wniosków, co wymaga od analityka podjęcia kompromisowej decyzji merytorycznej. Zgodnie z rygorystycznymi wskazaniami analizy równoległej Horna (zarówno dla kryterium średniej, jak i 95. </w:t>
      </w:r>
      <w:proofErr w:type="spellStart"/>
      <w:r w:rsidRPr="007850E2">
        <w:t>percentyla</w:t>
      </w:r>
      <w:proofErr w:type="spellEnd"/>
      <w:r w:rsidRPr="007850E2">
        <w:t>), jedynym statystycznie istotnym wymiarem jest pierwsza składowa główna (PC1). Wynik ten koresponduje z układem ładunków czynnikowych, gdzie większość oryginalnych zmiennych wykazuje silną korelację (</w:t>
      </w:r>
      <m:oMath>
        <m:d>
          <m:dPr>
            <m:begChr m:val="|"/>
            <m:endChr m:val="|"/>
            <m:ctrlPr>
              <w:rPr>
                <w:rFonts w:ascii="Cambria Math" w:hAnsi="Cambria Math"/>
              </w:rPr>
            </m:ctrlPr>
          </m:dPr>
          <m:e>
            <m:r>
              <w:rPr>
                <w:rFonts w:ascii="Cambria Math" w:hAnsi="Cambria Math"/>
              </w:rPr>
              <m:t>r</m:t>
            </m:r>
          </m:e>
        </m:d>
        <m:r>
          <w:rPr>
            <w:rFonts w:ascii="Cambria Math" w:hAnsi="Cambria Math"/>
          </w:rPr>
          <m:t>&gt;0.5</m:t>
        </m:r>
      </m:oMath>
      <w:r w:rsidRPr="007850E2">
        <w:t>) właśnie z pierwszym wymiarem.</w:t>
      </w:r>
    </w:p>
    <w:p w14:paraId="6C0A07A7" w14:textId="0BA697B2" w:rsidR="007850E2" w:rsidRDefault="007850E2" w:rsidP="00F0095D">
      <w:r w:rsidRPr="007850E2">
        <w:t>Z kolei tradycyjne kryterium Kaisera sugeruje zatrzymanie aż czterech składowych głównych, które łącznie wyjaśniają wysoką, wynoszącą aż 86,46% część całkowitej wariancji. Wizualizacja korelacji na mapie ciepła wskazuje jednak, że składowe trzecia (PC3) i czwarta (PC4) wiążą się już tylko z pojedynczymi, bardzo wąskimi cechami bazy noclegowej akademików, co w kontekście ogólnej analizy rozwoju regionów może stanowić modelowanie szumu informacyjnego.</w:t>
      </w:r>
    </w:p>
    <w:p w14:paraId="1E65F48D" w14:textId="44314C75" w:rsidR="007850E2" w:rsidRPr="00F0095D" w:rsidRDefault="007D1142" w:rsidP="00F0095D">
      <w:r w:rsidRPr="007D1142">
        <w:t>Mając na uwadze powyższe rozbieżności, podjęto decyzję o zatrzymaniu dwóch pierwszych składowych głównych (PC1 i PC2). Samodzielna składowa PC1 wyjaśnia niecałe 50% wariancji (48,97</w:t>
      </w:r>
      <w:r>
        <w:t>)</w:t>
      </w:r>
      <w:r w:rsidRPr="007D1142">
        <w:t>. Włączenie do modelu składowej PC2 pozwala na dookreślenie kluczowego wymiaru gospodarczo-transportowego oraz studenckiego, którego pierwsza składowa nie była w stanie w pełni odzwierciedlić. Łączny zasób wyjaśnianej wariancji dla dwóch składowych wynosi 66,04. Za takim wyborem przemawia również fakt, że na wykresie analizy równoległej rzeczywista wartość własna dla drugiej składowej znajduje się bezpośrednio pod linią danych losowych, będąc niezwykle blisko granicy istotności statystycznej.</w:t>
      </w:r>
    </w:p>
    <w:sectPr w:rsidR="007850E2" w:rsidRPr="00F0095D">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1966" w14:textId="77777777" w:rsidR="009C5000" w:rsidRDefault="009C5000" w:rsidP="00A22856">
      <w:pPr>
        <w:spacing w:after="0" w:line="240" w:lineRule="auto"/>
      </w:pPr>
      <w:r>
        <w:separator/>
      </w:r>
    </w:p>
  </w:endnote>
  <w:endnote w:type="continuationSeparator" w:id="0">
    <w:p w14:paraId="43188497" w14:textId="77777777" w:rsidR="009C5000" w:rsidRDefault="009C5000" w:rsidP="00A22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694054"/>
      <w:docPartObj>
        <w:docPartGallery w:val="Page Numbers (Bottom of Page)"/>
        <w:docPartUnique/>
      </w:docPartObj>
    </w:sdtPr>
    <w:sdtContent>
      <w:p w14:paraId="0AFCEDCA" w14:textId="77777777" w:rsidR="00A22856" w:rsidRDefault="00A22856">
        <w:pPr>
          <w:pStyle w:val="Footer"/>
          <w:jc w:val="center"/>
        </w:pPr>
        <w:r>
          <w:fldChar w:fldCharType="begin"/>
        </w:r>
        <w:r>
          <w:instrText>PAGE   \* MERGEFORMAT</w:instrText>
        </w:r>
        <w:r>
          <w:fldChar w:fldCharType="separate"/>
        </w:r>
        <w:r>
          <w:t>2</w:t>
        </w:r>
        <w:r>
          <w:fldChar w:fldCharType="end"/>
        </w:r>
      </w:p>
    </w:sdtContent>
  </w:sdt>
  <w:p w14:paraId="1D6FC72C" w14:textId="77777777" w:rsidR="00A22856" w:rsidRDefault="00A22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D9B7" w14:textId="77777777" w:rsidR="009C5000" w:rsidRDefault="009C5000" w:rsidP="00A22856">
      <w:pPr>
        <w:spacing w:after="0" w:line="240" w:lineRule="auto"/>
      </w:pPr>
      <w:r>
        <w:separator/>
      </w:r>
    </w:p>
  </w:footnote>
  <w:footnote w:type="continuationSeparator" w:id="0">
    <w:p w14:paraId="2ED4E873" w14:textId="77777777" w:rsidR="009C5000" w:rsidRDefault="009C5000" w:rsidP="00A228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CF"/>
    <w:rsid w:val="000517B8"/>
    <w:rsid w:val="000C0B01"/>
    <w:rsid w:val="000E4CE1"/>
    <w:rsid w:val="001D5069"/>
    <w:rsid w:val="001F28B9"/>
    <w:rsid w:val="002409DC"/>
    <w:rsid w:val="0033652B"/>
    <w:rsid w:val="0041653A"/>
    <w:rsid w:val="00425608"/>
    <w:rsid w:val="00447879"/>
    <w:rsid w:val="00517D22"/>
    <w:rsid w:val="005B2FAC"/>
    <w:rsid w:val="00707CCF"/>
    <w:rsid w:val="00773739"/>
    <w:rsid w:val="007850E2"/>
    <w:rsid w:val="007D1142"/>
    <w:rsid w:val="00867C5C"/>
    <w:rsid w:val="008B61B0"/>
    <w:rsid w:val="009C5000"/>
    <w:rsid w:val="00A22856"/>
    <w:rsid w:val="00B81F95"/>
    <w:rsid w:val="00BC05C1"/>
    <w:rsid w:val="00C11670"/>
    <w:rsid w:val="00CD7103"/>
    <w:rsid w:val="00DD503A"/>
    <w:rsid w:val="00DE2382"/>
    <w:rsid w:val="00E00B7C"/>
    <w:rsid w:val="00EB2850"/>
    <w:rsid w:val="00F0095D"/>
    <w:rsid w:val="00F054CA"/>
    <w:rsid w:val="00F858FD"/>
    <w:rsid w:val="00FB5B55"/>
    <w:rsid w:val="00FC793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8ACA0"/>
  <w15:chartTrackingRefBased/>
  <w15:docId w15:val="{31A21FAC-0E47-4244-AAD0-257BC2C5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CF"/>
    <w:rPr>
      <w:rFonts w:eastAsiaTheme="majorEastAsia" w:cstheme="majorBidi"/>
      <w:color w:val="272727" w:themeColor="text1" w:themeTint="D8"/>
    </w:rPr>
  </w:style>
  <w:style w:type="paragraph" w:styleId="Title">
    <w:name w:val="Title"/>
    <w:basedOn w:val="Normal"/>
    <w:next w:val="Normal"/>
    <w:link w:val="TitleChar"/>
    <w:uiPriority w:val="10"/>
    <w:qFormat/>
    <w:rsid w:val="00707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CF"/>
    <w:pPr>
      <w:spacing w:before="160"/>
      <w:jc w:val="center"/>
    </w:pPr>
    <w:rPr>
      <w:i/>
      <w:iCs/>
      <w:color w:val="404040" w:themeColor="text1" w:themeTint="BF"/>
    </w:rPr>
  </w:style>
  <w:style w:type="character" w:customStyle="1" w:styleId="QuoteChar">
    <w:name w:val="Quote Char"/>
    <w:basedOn w:val="DefaultParagraphFont"/>
    <w:link w:val="Quote"/>
    <w:uiPriority w:val="29"/>
    <w:rsid w:val="00707CCF"/>
    <w:rPr>
      <w:i/>
      <w:iCs/>
      <w:color w:val="404040" w:themeColor="text1" w:themeTint="BF"/>
    </w:rPr>
  </w:style>
  <w:style w:type="paragraph" w:styleId="ListParagraph">
    <w:name w:val="List Paragraph"/>
    <w:basedOn w:val="Normal"/>
    <w:uiPriority w:val="34"/>
    <w:qFormat/>
    <w:rsid w:val="00707CCF"/>
    <w:pPr>
      <w:ind w:left="720"/>
      <w:contextualSpacing/>
    </w:pPr>
  </w:style>
  <w:style w:type="character" w:styleId="IntenseEmphasis">
    <w:name w:val="Intense Emphasis"/>
    <w:basedOn w:val="DefaultParagraphFont"/>
    <w:uiPriority w:val="21"/>
    <w:qFormat/>
    <w:rsid w:val="00707CCF"/>
    <w:rPr>
      <w:i/>
      <w:iCs/>
      <w:color w:val="0F4761" w:themeColor="accent1" w:themeShade="BF"/>
    </w:rPr>
  </w:style>
  <w:style w:type="paragraph" w:styleId="IntenseQuote">
    <w:name w:val="Intense Quote"/>
    <w:basedOn w:val="Normal"/>
    <w:next w:val="Normal"/>
    <w:link w:val="IntenseQuoteChar"/>
    <w:uiPriority w:val="30"/>
    <w:qFormat/>
    <w:rsid w:val="00707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CCF"/>
    <w:rPr>
      <w:i/>
      <w:iCs/>
      <w:color w:val="0F4761" w:themeColor="accent1" w:themeShade="BF"/>
    </w:rPr>
  </w:style>
  <w:style w:type="character" w:styleId="IntenseReference">
    <w:name w:val="Intense Reference"/>
    <w:basedOn w:val="DefaultParagraphFont"/>
    <w:uiPriority w:val="32"/>
    <w:qFormat/>
    <w:rsid w:val="00707CCF"/>
    <w:rPr>
      <w:b/>
      <w:bCs/>
      <w:smallCaps/>
      <w:color w:val="0F4761" w:themeColor="accent1" w:themeShade="BF"/>
      <w:spacing w:val="5"/>
    </w:rPr>
  </w:style>
  <w:style w:type="paragraph" w:styleId="Caption">
    <w:name w:val="caption"/>
    <w:basedOn w:val="Normal"/>
    <w:next w:val="Normal"/>
    <w:uiPriority w:val="35"/>
    <w:unhideWhenUsed/>
    <w:qFormat/>
    <w:rsid w:val="0033652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228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A22856"/>
  </w:style>
  <w:style w:type="paragraph" w:styleId="Footer">
    <w:name w:val="footer"/>
    <w:basedOn w:val="Normal"/>
    <w:link w:val="FooterChar"/>
    <w:uiPriority w:val="99"/>
    <w:unhideWhenUsed/>
    <w:rsid w:val="00A228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A22856"/>
  </w:style>
  <w:style w:type="character" w:styleId="PlaceholderText">
    <w:name w:val="Placeholder Text"/>
    <w:basedOn w:val="DefaultParagraphFont"/>
    <w:uiPriority w:val="99"/>
    <w:semiHidden/>
    <w:rsid w:val="00FC7932"/>
    <w:rPr>
      <w:color w:val="666666"/>
    </w:rPr>
  </w:style>
  <w:style w:type="paragraph" w:styleId="EndnoteText">
    <w:name w:val="endnote text"/>
    <w:basedOn w:val="Normal"/>
    <w:link w:val="EndnoteTextChar"/>
    <w:uiPriority w:val="99"/>
    <w:semiHidden/>
    <w:unhideWhenUsed/>
    <w:rsid w:val="008B61B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61B0"/>
    <w:rPr>
      <w:sz w:val="20"/>
      <w:szCs w:val="20"/>
    </w:rPr>
  </w:style>
  <w:style w:type="character" w:styleId="EndnoteReference">
    <w:name w:val="endnote reference"/>
    <w:basedOn w:val="DefaultParagraphFont"/>
    <w:uiPriority w:val="99"/>
    <w:semiHidden/>
    <w:unhideWhenUsed/>
    <w:rsid w:val="008B61B0"/>
    <w:rPr>
      <w:vertAlign w:val="superscript"/>
    </w:rPr>
  </w:style>
  <w:style w:type="table" w:styleId="TableGrid">
    <w:name w:val="Table Grid"/>
    <w:basedOn w:val="TableNormal"/>
    <w:uiPriority w:val="39"/>
    <w:rsid w:val="008B6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8</Pages>
  <Words>1665</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Faltynowski</dc:creator>
  <cp:keywords/>
  <dc:description/>
  <cp:lastModifiedBy>Daniel Faltynowski</cp:lastModifiedBy>
  <cp:revision>13</cp:revision>
  <dcterms:created xsi:type="dcterms:W3CDTF">2026-06-05T11:19:00Z</dcterms:created>
  <dcterms:modified xsi:type="dcterms:W3CDTF">2026-06-06T12:39:00Z</dcterms:modified>
</cp:coreProperties>
</file>