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0B6D3" w14:textId="6286B093" w:rsidR="00005FFB" w:rsidRDefault="00005FFB" w:rsidP="00E65779">
      <w:pPr>
        <w:pStyle w:val="Heading1"/>
      </w:pPr>
      <w:r>
        <w:t>Analiza kanoniczna</w:t>
      </w:r>
    </w:p>
    <w:p w14:paraId="45372AD2" w14:textId="6F5552FD" w:rsidR="00005FFB" w:rsidRDefault="00005FFB">
      <w:r w:rsidRPr="00005FFB">
        <w:t xml:space="preserve">Podczas wstępnej analizy macierzy korelacji dostrzeżono wyraźne powiązania między badanymi cechami. Szczególną uwagę zwrócono na silne współzależności występujące pomiędzy dwoma konkretnymi podzespołami zmiennych. Pierwszy z nich, oznaczony jako zbiór </w:t>
      </w:r>
      <m:oMath>
        <m:r>
          <w:rPr>
            <w:rFonts w:ascii="Cambria Math" w:hAnsi="Cambria Math"/>
          </w:rPr>
          <m:t>X</m:t>
        </m:r>
      </m:oMath>
      <w:r w:rsidRPr="00005FFB">
        <w:t xml:space="preserve"> (zmienne od </w:t>
      </w:r>
      <m:oMath>
        <m:r>
          <w:rPr>
            <w:rFonts w:ascii="Cambria Math" w:hAnsi="Cambria Math"/>
          </w:rPr>
          <m:t>x11</m:t>
        </m:r>
      </m:oMath>
      <w:r w:rsidRPr="00005FFB">
        <w:t xml:space="preserve"> do </w:t>
      </w:r>
      <m:oMath>
        <m:r>
          <w:rPr>
            <w:rFonts w:ascii="Cambria Math" w:hAnsi="Cambria Math"/>
          </w:rPr>
          <m:t>x15</m:t>
        </m:r>
      </m:oMath>
      <w:r w:rsidRPr="00005FFB">
        <w:t xml:space="preserve">), reprezentuje kondycję gospodarczą regionów. Drugi, oznaczony jako zbiór </w:t>
      </w:r>
      <m:oMath>
        <m:r>
          <w:rPr>
            <w:rFonts w:ascii="Cambria Math" w:hAnsi="Cambria Math"/>
          </w:rPr>
          <m:t>Y</m:t>
        </m:r>
      </m:oMath>
      <w:r w:rsidRPr="00005FFB">
        <w:t xml:space="preserve"> (zmienne od </w:t>
      </w:r>
      <m:oMath>
        <m:r>
          <w:rPr>
            <w:rFonts w:ascii="Cambria Math" w:hAnsi="Cambria Math"/>
          </w:rPr>
          <m:t>x27</m:t>
        </m:r>
      </m:oMath>
      <w:r w:rsidRPr="00005FFB">
        <w:t xml:space="preserve"> do </w:t>
      </w:r>
      <m:oMath>
        <m:r>
          <w:rPr>
            <w:rFonts w:ascii="Cambria Math" w:hAnsi="Cambria Math"/>
          </w:rPr>
          <m:t>x30</m:t>
        </m:r>
      </m:oMath>
      <w:r w:rsidRPr="00005FFB">
        <w:t>), skupia się wokół szeroko rozumianych inwestycji.</w:t>
      </w:r>
    </w:p>
    <w:p w14:paraId="1FCE6FFF" w14:textId="4503C66D" w:rsidR="00005FFB" w:rsidRDefault="00005FFB">
      <w:r w:rsidRPr="00005FFB">
        <w:t>Odkrycie tak wysokich współzależności między wskaźnikami gospodarczymi a inwestycyjnymi stało się impulsem do głębszego zbadania struktury tych powiązań. W tym celu postanowiono wykorzystać analizę korelacji kanonicznej (CCA). Narzędzie to pozwala sprawdzić, jak całe grupy zmiennych wpływają na siebie nawzajem.</w:t>
      </w:r>
    </w:p>
    <w:p w14:paraId="39F36564" w14:textId="14934CBA" w:rsidR="00D809EA" w:rsidRDefault="007F45D3">
      <w:r w:rsidRPr="007F45D3">
        <w:t>W kontekście badanego dualizmu rozw</w:t>
      </w:r>
      <w:r>
        <w:t>oju</w:t>
      </w:r>
      <w:r w:rsidRPr="007F45D3">
        <w:t xml:space="preserve"> regionalnego, wysoki wynik tej analizy wskazywałby na istnienie silnego mechanizmu: wyższy poziom gospodarczy</w:t>
      </w:r>
      <w:r w:rsidR="004952BE">
        <w:t xml:space="preserve">, </w:t>
      </w:r>
      <w:r w:rsidRPr="007F45D3">
        <w:t>wyrażony m.in. przez PKB na mieszkańca, gęstość zarejestrowanych firm czy przeciętne wynagrodzenia</w:t>
      </w:r>
      <w:r w:rsidR="004952BE">
        <w:t>,</w:t>
      </w:r>
      <w:r w:rsidRPr="007F45D3">
        <w:t xml:space="preserve"> idzie w parze z lepszą jakością wskaźników inwestycyjnych</w:t>
      </w:r>
      <w:r w:rsidR="004952BE">
        <w:t xml:space="preserve">, </w:t>
      </w:r>
      <w:r w:rsidRPr="007F45D3">
        <w:t>takich jak ogólne wydatki budżetowe gmin czy celowe nakłady na kulturę i oświatę. Dokładną strukturę oraz opisy cech, które zakwalifikowano do tego etapu badania, przedstawiono poniżej w Tabeli 1.</w:t>
      </w:r>
      <w:r w:rsidR="004952BE">
        <w:fldChar w:fldCharType="begin"/>
      </w:r>
      <w:r w:rsidR="004952BE">
        <w:instrText xml:space="preserve"> LINK </w:instrText>
      </w:r>
      <w:r w:rsidR="00D809EA">
        <w:instrText xml:space="preserve">Excel.Sheet.12 C:\\Users\\dapha\\Desktop\\Repositories\\poland-ab-mda\\data\\dane.xlsx OPIS!R12C1:R16C3 </w:instrText>
      </w:r>
      <w:r w:rsidR="004952BE">
        <w:instrText xml:space="preserve">\a \f 4 \h  \* MERGEFORMAT </w:instrText>
      </w:r>
      <w:r w:rsidR="00D809EA">
        <w:fldChar w:fldCharType="separate"/>
      </w:r>
    </w:p>
    <w:tbl>
      <w:tblPr>
        <w:tblW w:w="9191" w:type="dxa"/>
        <w:jc w:val="center"/>
        <w:tblCellMar>
          <w:left w:w="70" w:type="dxa"/>
          <w:right w:w="70" w:type="dxa"/>
        </w:tblCellMar>
        <w:tblLook w:val="04A0" w:firstRow="1" w:lastRow="0" w:firstColumn="1" w:lastColumn="0" w:noHBand="0" w:noVBand="1"/>
      </w:tblPr>
      <w:tblGrid>
        <w:gridCol w:w="3340"/>
        <w:gridCol w:w="1460"/>
        <w:gridCol w:w="4391"/>
      </w:tblGrid>
      <w:tr w:rsidR="00D809EA" w:rsidRPr="00D809EA" w14:paraId="1F6DE5E1" w14:textId="77777777" w:rsidTr="00D809EA">
        <w:trPr>
          <w:trHeight w:val="288"/>
          <w:jc w:val="center"/>
        </w:trPr>
        <w:tc>
          <w:tcPr>
            <w:tcW w:w="3340" w:type="dxa"/>
            <w:tcBorders>
              <w:top w:val="single" w:sz="4" w:space="0" w:color="auto"/>
              <w:left w:val="double" w:sz="6" w:space="0" w:color="auto"/>
              <w:bottom w:val="single" w:sz="4" w:space="0" w:color="auto"/>
              <w:right w:val="single" w:sz="4" w:space="0" w:color="auto"/>
            </w:tcBorders>
            <w:shd w:val="clear" w:color="000000" w:fill="F4B084"/>
            <w:noWrap/>
            <w:vAlign w:val="bottom"/>
            <w:hideMark/>
          </w:tcPr>
          <w:p w14:paraId="654C22AD" w14:textId="5F5AD03C" w:rsidR="00D809EA" w:rsidRPr="00D809EA" w:rsidRDefault="00D809EA" w:rsidP="00D809EA">
            <w:pPr>
              <w:spacing w:after="0"/>
              <w:rPr>
                <w:rFonts w:ascii="Calibri" w:eastAsia="Times New Roman" w:hAnsi="Calibri" w:cs="Calibri"/>
                <w:color w:val="000000"/>
                <w:kern w:val="0"/>
                <w:sz w:val="20"/>
                <w:szCs w:val="20"/>
                <w:lang w:eastAsia="pl-PL"/>
                <w14:ligatures w14:val="none"/>
              </w:rPr>
            </w:pPr>
            <w:r w:rsidRPr="00D809EA">
              <w:rPr>
                <w:rFonts w:ascii="Calibri" w:eastAsia="Times New Roman" w:hAnsi="Calibri" w:cs="Calibri"/>
                <w:color w:val="000000"/>
                <w:kern w:val="0"/>
                <w:sz w:val="20"/>
                <w:szCs w:val="20"/>
                <w:lang w:eastAsia="pl-PL"/>
                <w14:ligatures w14:val="none"/>
              </w:rPr>
              <w:t>GOSPODARKA</w:t>
            </w:r>
          </w:p>
        </w:tc>
        <w:tc>
          <w:tcPr>
            <w:tcW w:w="1460" w:type="dxa"/>
            <w:tcBorders>
              <w:top w:val="single" w:sz="4" w:space="0" w:color="auto"/>
              <w:left w:val="nil"/>
              <w:bottom w:val="single" w:sz="4" w:space="0" w:color="auto"/>
              <w:right w:val="single" w:sz="4" w:space="0" w:color="auto"/>
            </w:tcBorders>
            <w:shd w:val="clear" w:color="000000" w:fill="F4B084"/>
            <w:noWrap/>
            <w:vAlign w:val="bottom"/>
            <w:hideMark/>
          </w:tcPr>
          <w:p w14:paraId="34DB26FB" w14:textId="77777777" w:rsidR="00D809EA" w:rsidRPr="00D809EA" w:rsidRDefault="00D809EA" w:rsidP="00D809EA">
            <w:pPr>
              <w:spacing w:after="0" w:line="240" w:lineRule="auto"/>
              <w:rPr>
                <w:rFonts w:ascii="Calibri" w:eastAsia="Times New Roman" w:hAnsi="Calibri" w:cs="Calibri"/>
                <w:color w:val="000000"/>
                <w:kern w:val="0"/>
                <w:sz w:val="20"/>
                <w:szCs w:val="20"/>
                <w:lang w:eastAsia="pl-PL"/>
                <w14:ligatures w14:val="none"/>
              </w:rPr>
            </w:pPr>
            <w:r w:rsidRPr="00D809EA">
              <w:rPr>
                <w:rFonts w:ascii="Calibri" w:eastAsia="Times New Roman" w:hAnsi="Calibri" w:cs="Calibri"/>
                <w:color w:val="000000"/>
                <w:kern w:val="0"/>
                <w:sz w:val="20"/>
                <w:szCs w:val="20"/>
                <w:lang w:eastAsia="pl-PL"/>
                <w14:ligatures w14:val="none"/>
              </w:rPr>
              <w:t>x11</w:t>
            </w:r>
          </w:p>
        </w:tc>
        <w:tc>
          <w:tcPr>
            <w:tcW w:w="4391" w:type="dxa"/>
            <w:tcBorders>
              <w:top w:val="single" w:sz="4" w:space="0" w:color="auto"/>
              <w:left w:val="nil"/>
              <w:bottom w:val="single" w:sz="4" w:space="0" w:color="auto"/>
              <w:right w:val="double" w:sz="6" w:space="0" w:color="auto"/>
            </w:tcBorders>
            <w:shd w:val="clear" w:color="000000" w:fill="F4B084"/>
            <w:noWrap/>
            <w:vAlign w:val="bottom"/>
            <w:hideMark/>
          </w:tcPr>
          <w:p w14:paraId="567346BF" w14:textId="77777777" w:rsidR="00D809EA" w:rsidRPr="00D809EA" w:rsidRDefault="00D809EA" w:rsidP="00D809EA">
            <w:pPr>
              <w:spacing w:after="0" w:line="240" w:lineRule="auto"/>
              <w:rPr>
                <w:rFonts w:ascii="Calibri" w:eastAsia="Times New Roman" w:hAnsi="Calibri" w:cs="Calibri"/>
                <w:color w:val="000000"/>
                <w:kern w:val="0"/>
                <w:sz w:val="20"/>
                <w:szCs w:val="20"/>
                <w:lang w:eastAsia="pl-PL"/>
                <w14:ligatures w14:val="none"/>
              </w:rPr>
            </w:pPr>
            <w:proofErr w:type="spellStart"/>
            <w:r w:rsidRPr="00D809EA">
              <w:rPr>
                <w:rFonts w:ascii="Calibri" w:eastAsia="Times New Roman" w:hAnsi="Calibri" w:cs="Calibri"/>
                <w:color w:val="000000"/>
                <w:kern w:val="0"/>
                <w:sz w:val="20"/>
                <w:szCs w:val="20"/>
                <w:lang w:eastAsia="pl-PL"/>
                <w14:ligatures w14:val="none"/>
              </w:rPr>
              <w:t>pkb</w:t>
            </w:r>
            <w:proofErr w:type="spellEnd"/>
            <w:r w:rsidRPr="00D809EA">
              <w:rPr>
                <w:rFonts w:ascii="Calibri" w:eastAsia="Times New Roman" w:hAnsi="Calibri" w:cs="Calibri"/>
                <w:color w:val="000000"/>
                <w:kern w:val="0"/>
                <w:sz w:val="20"/>
                <w:szCs w:val="20"/>
                <w:lang w:eastAsia="pl-PL"/>
                <w14:ligatures w14:val="none"/>
              </w:rPr>
              <w:t xml:space="preserve"> na osobę w 2023 w 1000 </w:t>
            </w:r>
            <w:proofErr w:type="spellStart"/>
            <w:r w:rsidRPr="00D809EA">
              <w:rPr>
                <w:rFonts w:ascii="Calibri" w:eastAsia="Times New Roman" w:hAnsi="Calibri" w:cs="Calibri"/>
                <w:color w:val="000000"/>
                <w:kern w:val="0"/>
                <w:sz w:val="20"/>
                <w:szCs w:val="20"/>
                <w:lang w:eastAsia="pl-PL"/>
                <w14:ligatures w14:val="none"/>
              </w:rPr>
              <w:t>zl</w:t>
            </w:r>
            <w:proofErr w:type="spellEnd"/>
          </w:p>
        </w:tc>
      </w:tr>
      <w:tr w:rsidR="00D809EA" w:rsidRPr="00D809EA" w14:paraId="7E074667" w14:textId="77777777" w:rsidTr="00D809EA">
        <w:trPr>
          <w:trHeight w:val="288"/>
          <w:jc w:val="center"/>
        </w:trPr>
        <w:tc>
          <w:tcPr>
            <w:tcW w:w="3340" w:type="dxa"/>
            <w:tcBorders>
              <w:top w:val="nil"/>
              <w:left w:val="double" w:sz="6" w:space="0" w:color="auto"/>
              <w:bottom w:val="single" w:sz="4" w:space="0" w:color="auto"/>
              <w:right w:val="single" w:sz="4" w:space="0" w:color="auto"/>
            </w:tcBorders>
            <w:shd w:val="clear" w:color="000000" w:fill="F4B084"/>
            <w:noWrap/>
            <w:vAlign w:val="bottom"/>
            <w:hideMark/>
          </w:tcPr>
          <w:p w14:paraId="5618B012" w14:textId="77777777" w:rsidR="00D809EA" w:rsidRPr="00D809EA" w:rsidRDefault="00D809EA" w:rsidP="00D809EA">
            <w:pPr>
              <w:spacing w:after="0" w:line="240" w:lineRule="auto"/>
              <w:rPr>
                <w:rFonts w:ascii="Calibri" w:eastAsia="Times New Roman" w:hAnsi="Calibri" w:cs="Calibri"/>
                <w:color w:val="000000"/>
                <w:kern w:val="0"/>
                <w:sz w:val="20"/>
                <w:szCs w:val="20"/>
                <w:lang w:eastAsia="pl-PL"/>
                <w14:ligatures w14:val="none"/>
              </w:rPr>
            </w:pPr>
            <w:r w:rsidRPr="00D809EA">
              <w:rPr>
                <w:rFonts w:ascii="Calibri" w:eastAsia="Times New Roman" w:hAnsi="Calibri" w:cs="Calibri"/>
                <w:color w:val="000000"/>
                <w:kern w:val="0"/>
                <w:sz w:val="20"/>
                <w:szCs w:val="20"/>
                <w:lang w:eastAsia="pl-PL"/>
                <w14:ligatures w14:val="none"/>
              </w:rPr>
              <w:t>GOSPODARKA</w:t>
            </w:r>
          </w:p>
        </w:tc>
        <w:tc>
          <w:tcPr>
            <w:tcW w:w="1460" w:type="dxa"/>
            <w:tcBorders>
              <w:top w:val="nil"/>
              <w:left w:val="nil"/>
              <w:bottom w:val="single" w:sz="4" w:space="0" w:color="auto"/>
              <w:right w:val="single" w:sz="4" w:space="0" w:color="auto"/>
            </w:tcBorders>
            <w:shd w:val="clear" w:color="000000" w:fill="F4B084"/>
            <w:noWrap/>
            <w:vAlign w:val="bottom"/>
            <w:hideMark/>
          </w:tcPr>
          <w:p w14:paraId="0C277962" w14:textId="77777777" w:rsidR="00D809EA" w:rsidRPr="00D809EA" w:rsidRDefault="00D809EA" w:rsidP="00D809EA">
            <w:pPr>
              <w:spacing w:after="0" w:line="240" w:lineRule="auto"/>
              <w:rPr>
                <w:rFonts w:ascii="Calibri" w:eastAsia="Times New Roman" w:hAnsi="Calibri" w:cs="Calibri"/>
                <w:color w:val="000000"/>
                <w:kern w:val="0"/>
                <w:sz w:val="20"/>
                <w:szCs w:val="20"/>
                <w:lang w:eastAsia="pl-PL"/>
                <w14:ligatures w14:val="none"/>
              </w:rPr>
            </w:pPr>
            <w:r w:rsidRPr="00D809EA">
              <w:rPr>
                <w:rFonts w:ascii="Calibri" w:eastAsia="Times New Roman" w:hAnsi="Calibri" w:cs="Calibri"/>
                <w:color w:val="000000"/>
                <w:kern w:val="0"/>
                <w:sz w:val="20"/>
                <w:szCs w:val="20"/>
                <w:lang w:eastAsia="pl-PL"/>
                <w14:ligatures w14:val="none"/>
              </w:rPr>
              <w:t>x12</w:t>
            </w:r>
          </w:p>
        </w:tc>
        <w:tc>
          <w:tcPr>
            <w:tcW w:w="4391" w:type="dxa"/>
            <w:tcBorders>
              <w:top w:val="nil"/>
              <w:left w:val="nil"/>
              <w:bottom w:val="single" w:sz="4" w:space="0" w:color="auto"/>
              <w:right w:val="double" w:sz="6" w:space="0" w:color="auto"/>
            </w:tcBorders>
            <w:shd w:val="clear" w:color="000000" w:fill="F4B084"/>
            <w:noWrap/>
            <w:vAlign w:val="bottom"/>
            <w:hideMark/>
          </w:tcPr>
          <w:p w14:paraId="61686C15" w14:textId="77777777" w:rsidR="00D809EA" w:rsidRPr="00D809EA" w:rsidRDefault="00D809EA" w:rsidP="00D809EA">
            <w:pPr>
              <w:spacing w:after="0" w:line="240" w:lineRule="auto"/>
              <w:rPr>
                <w:rFonts w:ascii="Calibri" w:eastAsia="Times New Roman" w:hAnsi="Calibri" w:cs="Calibri"/>
                <w:color w:val="000000"/>
                <w:kern w:val="0"/>
                <w:sz w:val="20"/>
                <w:szCs w:val="20"/>
                <w:lang w:eastAsia="pl-PL"/>
                <w14:ligatures w14:val="none"/>
              </w:rPr>
            </w:pPr>
            <w:r w:rsidRPr="00D809EA">
              <w:rPr>
                <w:rFonts w:ascii="Calibri" w:eastAsia="Times New Roman" w:hAnsi="Calibri" w:cs="Calibri"/>
                <w:color w:val="000000"/>
                <w:kern w:val="0"/>
                <w:sz w:val="20"/>
                <w:szCs w:val="20"/>
                <w:lang w:eastAsia="pl-PL"/>
                <w14:ligatures w14:val="none"/>
              </w:rPr>
              <w:t>podmioty wpisane do rejestru REGON na 1 tys. Ludności – 2024</w:t>
            </w:r>
          </w:p>
        </w:tc>
      </w:tr>
      <w:tr w:rsidR="00D809EA" w:rsidRPr="00D809EA" w14:paraId="1FE6D76A" w14:textId="77777777" w:rsidTr="00D809EA">
        <w:trPr>
          <w:trHeight w:val="288"/>
          <w:jc w:val="center"/>
        </w:trPr>
        <w:tc>
          <w:tcPr>
            <w:tcW w:w="3340" w:type="dxa"/>
            <w:tcBorders>
              <w:top w:val="nil"/>
              <w:left w:val="double" w:sz="6" w:space="0" w:color="auto"/>
              <w:bottom w:val="single" w:sz="4" w:space="0" w:color="auto"/>
              <w:right w:val="single" w:sz="4" w:space="0" w:color="auto"/>
            </w:tcBorders>
            <w:shd w:val="clear" w:color="000000" w:fill="F4B084"/>
            <w:noWrap/>
            <w:vAlign w:val="bottom"/>
            <w:hideMark/>
          </w:tcPr>
          <w:p w14:paraId="7824E962" w14:textId="77777777" w:rsidR="00D809EA" w:rsidRPr="00D809EA" w:rsidRDefault="00D809EA" w:rsidP="00D809EA">
            <w:pPr>
              <w:spacing w:after="0" w:line="240" w:lineRule="auto"/>
              <w:rPr>
                <w:rFonts w:ascii="Calibri" w:eastAsia="Times New Roman" w:hAnsi="Calibri" w:cs="Calibri"/>
                <w:color w:val="000000"/>
                <w:kern w:val="0"/>
                <w:sz w:val="20"/>
                <w:szCs w:val="20"/>
                <w:lang w:eastAsia="pl-PL"/>
                <w14:ligatures w14:val="none"/>
              </w:rPr>
            </w:pPr>
            <w:r w:rsidRPr="00D809EA">
              <w:rPr>
                <w:rFonts w:ascii="Calibri" w:eastAsia="Times New Roman" w:hAnsi="Calibri" w:cs="Calibri"/>
                <w:color w:val="000000"/>
                <w:kern w:val="0"/>
                <w:sz w:val="20"/>
                <w:szCs w:val="20"/>
                <w:lang w:eastAsia="pl-PL"/>
                <w14:ligatures w14:val="none"/>
              </w:rPr>
              <w:t>GOSPODARKA</w:t>
            </w:r>
          </w:p>
        </w:tc>
        <w:tc>
          <w:tcPr>
            <w:tcW w:w="1460" w:type="dxa"/>
            <w:tcBorders>
              <w:top w:val="nil"/>
              <w:left w:val="nil"/>
              <w:bottom w:val="single" w:sz="4" w:space="0" w:color="auto"/>
              <w:right w:val="single" w:sz="4" w:space="0" w:color="auto"/>
            </w:tcBorders>
            <w:shd w:val="clear" w:color="000000" w:fill="F4B084"/>
            <w:noWrap/>
            <w:vAlign w:val="bottom"/>
            <w:hideMark/>
          </w:tcPr>
          <w:p w14:paraId="3B1A3A21" w14:textId="77777777" w:rsidR="00D809EA" w:rsidRPr="00D809EA" w:rsidRDefault="00D809EA" w:rsidP="00D809EA">
            <w:pPr>
              <w:spacing w:after="0" w:line="240" w:lineRule="auto"/>
              <w:rPr>
                <w:rFonts w:ascii="Calibri" w:eastAsia="Times New Roman" w:hAnsi="Calibri" w:cs="Calibri"/>
                <w:color w:val="000000"/>
                <w:kern w:val="0"/>
                <w:sz w:val="20"/>
                <w:szCs w:val="20"/>
                <w:lang w:eastAsia="pl-PL"/>
                <w14:ligatures w14:val="none"/>
              </w:rPr>
            </w:pPr>
            <w:r w:rsidRPr="00D809EA">
              <w:rPr>
                <w:rFonts w:ascii="Calibri" w:eastAsia="Times New Roman" w:hAnsi="Calibri" w:cs="Calibri"/>
                <w:color w:val="000000"/>
                <w:kern w:val="0"/>
                <w:sz w:val="20"/>
                <w:szCs w:val="20"/>
                <w:lang w:eastAsia="pl-PL"/>
                <w14:ligatures w14:val="none"/>
              </w:rPr>
              <w:t>x13</w:t>
            </w:r>
          </w:p>
        </w:tc>
        <w:tc>
          <w:tcPr>
            <w:tcW w:w="4391" w:type="dxa"/>
            <w:tcBorders>
              <w:top w:val="nil"/>
              <w:left w:val="nil"/>
              <w:bottom w:val="single" w:sz="4" w:space="0" w:color="auto"/>
              <w:right w:val="double" w:sz="6" w:space="0" w:color="auto"/>
            </w:tcBorders>
            <w:shd w:val="clear" w:color="000000" w:fill="F4B084"/>
            <w:noWrap/>
            <w:vAlign w:val="bottom"/>
            <w:hideMark/>
          </w:tcPr>
          <w:p w14:paraId="7834E29F" w14:textId="77777777" w:rsidR="00D809EA" w:rsidRPr="00D809EA" w:rsidRDefault="00D809EA" w:rsidP="00D809EA">
            <w:pPr>
              <w:spacing w:after="0" w:line="240" w:lineRule="auto"/>
              <w:rPr>
                <w:rFonts w:ascii="Calibri" w:eastAsia="Times New Roman" w:hAnsi="Calibri" w:cs="Calibri"/>
                <w:color w:val="000000"/>
                <w:kern w:val="0"/>
                <w:sz w:val="20"/>
                <w:szCs w:val="20"/>
                <w:lang w:eastAsia="pl-PL"/>
                <w14:ligatures w14:val="none"/>
              </w:rPr>
            </w:pPr>
            <w:r w:rsidRPr="00D809EA">
              <w:rPr>
                <w:rFonts w:ascii="Calibri" w:eastAsia="Times New Roman" w:hAnsi="Calibri" w:cs="Calibri"/>
                <w:color w:val="000000"/>
                <w:kern w:val="0"/>
                <w:sz w:val="20"/>
                <w:szCs w:val="20"/>
                <w:lang w:eastAsia="pl-PL"/>
                <w14:ligatures w14:val="none"/>
              </w:rPr>
              <w:t xml:space="preserve">dochody budżetów województw na 1 </w:t>
            </w:r>
            <w:proofErr w:type="spellStart"/>
            <w:r w:rsidRPr="00D809EA">
              <w:rPr>
                <w:rFonts w:ascii="Calibri" w:eastAsia="Times New Roman" w:hAnsi="Calibri" w:cs="Calibri"/>
                <w:color w:val="000000"/>
                <w:kern w:val="0"/>
                <w:sz w:val="20"/>
                <w:szCs w:val="20"/>
                <w:lang w:eastAsia="pl-PL"/>
                <w14:ligatures w14:val="none"/>
              </w:rPr>
              <w:t>mieszkanca</w:t>
            </w:r>
            <w:proofErr w:type="spellEnd"/>
            <w:r w:rsidRPr="00D809EA">
              <w:rPr>
                <w:rFonts w:ascii="Calibri" w:eastAsia="Times New Roman" w:hAnsi="Calibri" w:cs="Calibri"/>
                <w:color w:val="000000"/>
                <w:kern w:val="0"/>
                <w:sz w:val="20"/>
                <w:szCs w:val="20"/>
                <w:lang w:eastAsia="pl-PL"/>
                <w14:ligatures w14:val="none"/>
              </w:rPr>
              <w:t xml:space="preserve"> w roku 2024 w dziesiątkach złotych]</w:t>
            </w:r>
          </w:p>
        </w:tc>
      </w:tr>
      <w:tr w:rsidR="00D809EA" w:rsidRPr="00D809EA" w14:paraId="337C1C6E" w14:textId="77777777" w:rsidTr="00D809EA">
        <w:trPr>
          <w:trHeight w:val="288"/>
          <w:jc w:val="center"/>
        </w:trPr>
        <w:tc>
          <w:tcPr>
            <w:tcW w:w="3340" w:type="dxa"/>
            <w:tcBorders>
              <w:top w:val="nil"/>
              <w:left w:val="double" w:sz="6" w:space="0" w:color="auto"/>
              <w:bottom w:val="single" w:sz="4" w:space="0" w:color="auto"/>
              <w:right w:val="single" w:sz="4" w:space="0" w:color="auto"/>
            </w:tcBorders>
            <w:shd w:val="clear" w:color="000000" w:fill="F4B084"/>
            <w:noWrap/>
            <w:vAlign w:val="bottom"/>
            <w:hideMark/>
          </w:tcPr>
          <w:p w14:paraId="75E2B57A" w14:textId="77777777" w:rsidR="00D809EA" w:rsidRPr="00D809EA" w:rsidRDefault="00D809EA" w:rsidP="00D809EA">
            <w:pPr>
              <w:spacing w:after="0" w:line="240" w:lineRule="auto"/>
              <w:rPr>
                <w:rFonts w:ascii="Calibri" w:eastAsia="Times New Roman" w:hAnsi="Calibri" w:cs="Calibri"/>
                <w:color w:val="000000"/>
                <w:kern w:val="0"/>
                <w:sz w:val="20"/>
                <w:szCs w:val="20"/>
                <w:lang w:eastAsia="pl-PL"/>
                <w14:ligatures w14:val="none"/>
              </w:rPr>
            </w:pPr>
            <w:r w:rsidRPr="00D809EA">
              <w:rPr>
                <w:rFonts w:ascii="Calibri" w:eastAsia="Times New Roman" w:hAnsi="Calibri" w:cs="Calibri"/>
                <w:color w:val="000000"/>
                <w:kern w:val="0"/>
                <w:sz w:val="20"/>
                <w:szCs w:val="20"/>
                <w:lang w:eastAsia="pl-PL"/>
                <w14:ligatures w14:val="none"/>
              </w:rPr>
              <w:t>GOSPODARKA</w:t>
            </w:r>
          </w:p>
        </w:tc>
        <w:tc>
          <w:tcPr>
            <w:tcW w:w="1460" w:type="dxa"/>
            <w:tcBorders>
              <w:top w:val="nil"/>
              <w:left w:val="nil"/>
              <w:bottom w:val="single" w:sz="4" w:space="0" w:color="auto"/>
              <w:right w:val="single" w:sz="4" w:space="0" w:color="auto"/>
            </w:tcBorders>
            <w:shd w:val="clear" w:color="000000" w:fill="F4B084"/>
            <w:noWrap/>
            <w:vAlign w:val="bottom"/>
            <w:hideMark/>
          </w:tcPr>
          <w:p w14:paraId="1558FD76" w14:textId="77777777" w:rsidR="00D809EA" w:rsidRPr="00D809EA" w:rsidRDefault="00D809EA" w:rsidP="00D809EA">
            <w:pPr>
              <w:spacing w:after="0" w:line="240" w:lineRule="auto"/>
              <w:rPr>
                <w:rFonts w:ascii="Calibri" w:eastAsia="Times New Roman" w:hAnsi="Calibri" w:cs="Calibri"/>
                <w:color w:val="000000"/>
                <w:kern w:val="0"/>
                <w:sz w:val="20"/>
                <w:szCs w:val="20"/>
                <w:lang w:eastAsia="pl-PL"/>
                <w14:ligatures w14:val="none"/>
              </w:rPr>
            </w:pPr>
            <w:r w:rsidRPr="00D809EA">
              <w:rPr>
                <w:rFonts w:ascii="Calibri" w:eastAsia="Times New Roman" w:hAnsi="Calibri" w:cs="Calibri"/>
                <w:color w:val="000000"/>
                <w:kern w:val="0"/>
                <w:sz w:val="20"/>
                <w:szCs w:val="20"/>
                <w:lang w:eastAsia="pl-PL"/>
                <w14:ligatures w14:val="none"/>
              </w:rPr>
              <w:t>x14</w:t>
            </w:r>
          </w:p>
        </w:tc>
        <w:tc>
          <w:tcPr>
            <w:tcW w:w="4391" w:type="dxa"/>
            <w:tcBorders>
              <w:top w:val="nil"/>
              <w:left w:val="nil"/>
              <w:bottom w:val="single" w:sz="4" w:space="0" w:color="auto"/>
              <w:right w:val="double" w:sz="6" w:space="0" w:color="auto"/>
            </w:tcBorders>
            <w:shd w:val="clear" w:color="000000" w:fill="F4B084"/>
            <w:noWrap/>
            <w:vAlign w:val="bottom"/>
            <w:hideMark/>
          </w:tcPr>
          <w:p w14:paraId="12006053" w14:textId="77777777" w:rsidR="00D809EA" w:rsidRPr="00D809EA" w:rsidRDefault="00D809EA" w:rsidP="00D809EA">
            <w:pPr>
              <w:spacing w:after="0" w:line="240" w:lineRule="auto"/>
              <w:rPr>
                <w:rFonts w:ascii="Calibri" w:eastAsia="Times New Roman" w:hAnsi="Calibri" w:cs="Calibri"/>
                <w:color w:val="000000"/>
                <w:kern w:val="0"/>
                <w:sz w:val="20"/>
                <w:szCs w:val="20"/>
                <w:lang w:eastAsia="pl-PL"/>
                <w14:ligatures w14:val="none"/>
              </w:rPr>
            </w:pPr>
            <w:r w:rsidRPr="00D809EA">
              <w:rPr>
                <w:rFonts w:ascii="Calibri" w:eastAsia="Times New Roman" w:hAnsi="Calibri" w:cs="Calibri"/>
                <w:color w:val="000000"/>
                <w:kern w:val="0"/>
                <w:sz w:val="20"/>
                <w:szCs w:val="20"/>
                <w:lang w:eastAsia="pl-PL"/>
                <w14:ligatures w14:val="none"/>
              </w:rPr>
              <w:t>jednostki nowo zarejestrowane w rejestrze REGON w roku 2024 na 10 tys. Ludności</w:t>
            </w:r>
          </w:p>
        </w:tc>
      </w:tr>
      <w:tr w:rsidR="00D809EA" w:rsidRPr="00D809EA" w14:paraId="7C9F8346" w14:textId="77777777" w:rsidTr="00D809EA">
        <w:trPr>
          <w:trHeight w:val="288"/>
          <w:jc w:val="center"/>
        </w:trPr>
        <w:tc>
          <w:tcPr>
            <w:tcW w:w="3340" w:type="dxa"/>
            <w:tcBorders>
              <w:top w:val="nil"/>
              <w:left w:val="double" w:sz="6" w:space="0" w:color="auto"/>
              <w:bottom w:val="single" w:sz="4" w:space="0" w:color="auto"/>
              <w:right w:val="single" w:sz="4" w:space="0" w:color="auto"/>
            </w:tcBorders>
            <w:shd w:val="clear" w:color="000000" w:fill="F4B084"/>
            <w:noWrap/>
            <w:vAlign w:val="bottom"/>
            <w:hideMark/>
          </w:tcPr>
          <w:p w14:paraId="3B5B7E5B" w14:textId="77777777" w:rsidR="00D809EA" w:rsidRPr="00D809EA" w:rsidRDefault="00D809EA" w:rsidP="00D809EA">
            <w:pPr>
              <w:spacing w:after="0" w:line="240" w:lineRule="auto"/>
              <w:rPr>
                <w:rFonts w:ascii="Calibri" w:eastAsia="Times New Roman" w:hAnsi="Calibri" w:cs="Calibri"/>
                <w:color w:val="000000"/>
                <w:kern w:val="0"/>
                <w:sz w:val="20"/>
                <w:szCs w:val="20"/>
                <w:lang w:eastAsia="pl-PL"/>
                <w14:ligatures w14:val="none"/>
              </w:rPr>
            </w:pPr>
            <w:r w:rsidRPr="00D809EA">
              <w:rPr>
                <w:rFonts w:ascii="Calibri" w:eastAsia="Times New Roman" w:hAnsi="Calibri" w:cs="Calibri"/>
                <w:color w:val="000000"/>
                <w:kern w:val="0"/>
                <w:sz w:val="20"/>
                <w:szCs w:val="20"/>
                <w:lang w:eastAsia="pl-PL"/>
                <w14:ligatures w14:val="none"/>
              </w:rPr>
              <w:t>GOSPODARKA</w:t>
            </w:r>
          </w:p>
        </w:tc>
        <w:tc>
          <w:tcPr>
            <w:tcW w:w="1460" w:type="dxa"/>
            <w:tcBorders>
              <w:top w:val="nil"/>
              <w:left w:val="nil"/>
              <w:bottom w:val="single" w:sz="4" w:space="0" w:color="auto"/>
              <w:right w:val="single" w:sz="4" w:space="0" w:color="auto"/>
            </w:tcBorders>
            <w:shd w:val="clear" w:color="000000" w:fill="F4B084"/>
            <w:noWrap/>
            <w:vAlign w:val="bottom"/>
            <w:hideMark/>
          </w:tcPr>
          <w:p w14:paraId="400B2D18" w14:textId="77777777" w:rsidR="00D809EA" w:rsidRPr="00D809EA" w:rsidRDefault="00D809EA" w:rsidP="00D809EA">
            <w:pPr>
              <w:spacing w:after="0" w:line="240" w:lineRule="auto"/>
              <w:rPr>
                <w:rFonts w:ascii="Calibri" w:eastAsia="Times New Roman" w:hAnsi="Calibri" w:cs="Calibri"/>
                <w:color w:val="000000"/>
                <w:kern w:val="0"/>
                <w:sz w:val="20"/>
                <w:szCs w:val="20"/>
                <w:lang w:eastAsia="pl-PL"/>
                <w14:ligatures w14:val="none"/>
              </w:rPr>
            </w:pPr>
            <w:r w:rsidRPr="00D809EA">
              <w:rPr>
                <w:rFonts w:ascii="Calibri" w:eastAsia="Times New Roman" w:hAnsi="Calibri" w:cs="Calibri"/>
                <w:color w:val="000000"/>
                <w:kern w:val="0"/>
                <w:sz w:val="20"/>
                <w:szCs w:val="20"/>
                <w:lang w:eastAsia="pl-PL"/>
                <w14:ligatures w14:val="none"/>
              </w:rPr>
              <w:t>x15</w:t>
            </w:r>
          </w:p>
        </w:tc>
        <w:tc>
          <w:tcPr>
            <w:tcW w:w="4391" w:type="dxa"/>
            <w:tcBorders>
              <w:top w:val="nil"/>
              <w:left w:val="nil"/>
              <w:bottom w:val="single" w:sz="4" w:space="0" w:color="auto"/>
              <w:right w:val="double" w:sz="6" w:space="0" w:color="auto"/>
            </w:tcBorders>
            <w:shd w:val="clear" w:color="000000" w:fill="F4B084"/>
            <w:noWrap/>
            <w:vAlign w:val="bottom"/>
            <w:hideMark/>
          </w:tcPr>
          <w:p w14:paraId="07CDC8DD" w14:textId="77777777" w:rsidR="00D809EA" w:rsidRPr="00D809EA" w:rsidRDefault="00D809EA" w:rsidP="00D809EA">
            <w:pPr>
              <w:spacing w:after="0" w:line="240" w:lineRule="auto"/>
              <w:rPr>
                <w:rFonts w:ascii="Calibri" w:eastAsia="Times New Roman" w:hAnsi="Calibri" w:cs="Calibri"/>
                <w:color w:val="000000"/>
                <w:kern w:val="0"/>
                <w:sz w:val="20"/>
                <w:szCs w:val="20"/>
                <w:lang w:eastAsia="pl-PL"/>
                <w14:ligatures w14:val="none"/>
              </w:rPr>
            </w:pPr>
            <w:r w:rsidRPr="00D809EA">
              <w:rPr>
                <w:rFonts w:ascii="Calibri" w:eastAsia="Times New Roman" w:hAnsi="Calibri" w:cs="Calibri"/>
                <w:color w:val="000000"/>
                <w:kern w:val="0"/>
                <w:sz w:val="20"/>
                <w:szCs w:val="20"/>
                <w:lang w:eastAsia="pl-PL"/>
                <w14:ligatures w14:val="none"/>
              </w:rPr>
              <w:t>Przeciętne miesięczne wynagrodzenia brutto w 2024 w setkach zł</w:t>
            </w:r>
          </w:p>
        </w:tc>
      </w:tr>
    </w:tbl>
    <w:p w14:paraId="77F2FBFC" w14:textId="6ACE3F04" w:rsidR="00D809EA" w:rsidRDefault="004952BE">
      <w:r>
        <w:fldChar w:fldCharType="end"/>
      </w:r>
      <w:r>
        <w:fldChar w:fldCharType="begin"/>
      </w:r>
      <w:r>
        <w:instrText xml:space="preserve"> LINK </w:instrText>
      </w:r>
      <w:r w:rsidR="00D809EA">
        <w:instrText xml:space="preserve">Excel.Sheet.12 C:\\Users\\dapha\\Desktop\\Repositories\\poland-ab-mda\\data\\dane.xlsx OPIS!R28C1:R31C3 </w:instrText>
      </w:r>
      <w:r>
        <w:instrText xml:space="preserve">\a \f 4 \h  \* MERGEFORMAT </w:instrText>
      </w:r>
      <w:r w:rsidR="00D809EA">
        <w:fldChar w:fldCharType="separate"/>
      </w:r>
    </w:p>
    <w:tbl>
      <w:tblPr>
        <w:tblW w:w="9191" w:type="dxa"/>
        <w:jc w:val="center"/>
        <w:tblCellMar>
          <w:left w:w="70" w:type="dxa"/>
          <w:right w:w="70" w:type="dxa"/>
        </w:tblCellMar>
        <w:tblLook w:val="04A0" w:firstRow="1" w:lastRow="0" w:firstColumn="1" w:lastColumn="0" w:noHBand="0" w:noVBand="1"/>
      </w:tblPr>
      <w:tblGrid>
        <w:gridCol w:w="3340"/>
        <w:gridCol w:w="1460"/>
        <w:gridCol w:w="4391"/>
      </w:tblGrid>
      <w:tr w:rsidR="00D809EA" w:rsidRPr="00D809EA" w14:paraId="76A7220C" w14:textId="77777777" w:rsidTr="00D809EA">
        <w:trPr>
          <w:trHeight w:val="288"/>
          <w:jc w:val="center"/>
        </w:trPr>
        <w:tc>
          <w:tcPr>
            <w:tcW w:w="3340" w:type="dxa"/>
            <w:tcBorders>
              <w:top w:val="single" w:sz="4" w:space="0" w:color="auto"/>
              <w:left w:val="double" w:sz="6" w:space="0" w:color="auto"/>
              <w:bottom w:val="single" w:sz="4" w:space="0" w:color="auto"/>
              <w:right w:val="single" w:sz="4" w:space="0" w:color="auto"/>
            </w:tcBorders>
            <w:shd w:val="clear" w:color="000000" w:fill="FF3399"/>
            <w:noWrap/>
            <w:vAlign w:val="bottom"/>
            <w:hideMark/>
          </w:tcPr>
          <w:p w14:paraId="013E9E36" w14:textId="4FFEAB00" w:rsidR="00D809EA" w:rsidRPr="00D809EA" w:rsidRDefault="00D809EA" w:rsidP="00D809EA">
            <w:pPr>
              <w:spacing w:after="0"/>
              <w:rPr>
                <w:rFonts w:ascii="Calibri" w:eastAsia="Times New Roman" w:hAnsi="Calibri" w:cs="Calibri"/>
                <w:color w:val="000000"/>
                <w:kern w:val="0"/>
                <w:sz w:val="20"/>
                <w:szCs w:val="20"/>
                <w:lang w:eastAsia="pl-PL"/>
                <w14:ligatures w14:val="none"/>
              </w:rPr>
            </w:pPr>
            <w:r w:rsidRPr="00D809EA">
              <w:rPr>
                <w:rFonts w:ascii="Calibri" w:eastAsia="Times New Roman" w:hAnsi="Calibri" w:cs="Calibri"/>
                <w:color w:val="000000"/>
                <w:kern w:val="0"/>
                <w:sz w:val="20"/>
                <w:szCs w:val="20"/>
                <w:lang w:eastAsia="pl-PL"/>
                <w14:ligatures w14:val="none"/>
              </w:rPr>
              <w:t>INWESTYCJE</w:t>
            </w:r>
          </w:p>
        </w:tc>
        <w:tc>
          <w:tcPr>
            <w:tcW w:w="1460" w:type="dxa"/>
            <w:tcBorders>
              <w:top w:val="single" w:sz="4" w:space="0" w:color="auto"/>
              <w:left w:val="nil"/>
              <w:bottom w:val="single" w:sz="4" w:space="0" w:color="auto"/>
              <w:right w:val="single" w:sz="4" w:space="0" w:color="auto"/>
            </w:tcBorders>
            <w:shd w:val="clear" w:color="000000" w:fill="FF3399"/>
            <w:noWrap/>
            <w:vAlign w:val="bottom"/>
            <w:hideMark/>
          </w:tcPr>
          <w:p w14:paraId="5A48221B" w14:textId="77777777" w:rsidR="00D809EA" w:rsidRPr="00D809EA" w:rsidRDefault="00D809EA" w:rsidP="00D809EA">
            <w:pPr>
              <w:spacing w:after="0" w:line="240" w:lineRule="auto"/>
              <w:rPr>
                <w:rFonts w:ascii="Calibri" w:eastAsia="Times New Roman" w:hAnsi="Calibri" w:cs="Calibri"/>
                <w:color w:val="000000"/>
                <w:kern w:val="0"/>
                <w:sz w:val="20"/>
                <w:szCs w:val="20"/>
                <w:lang w:eastAsia="pl-PL"/>
                <w14:ligatures w14:val="none"/>
              </w:rPr>
            </w:pPr>
            <w:r w:rsidRPr="00D809EA">
              <w:rPr>
                <w:rFonts w:ascii="Calibri" w:eastAsia="Times New Roman" w:hAnsi="Calibri" w:cs="Calibri"/>
                <w:color w:val="000000"/>
                <w:kern w:val="0"/>
                <w:sz w:val="20"/>
                <w:szCs w:val="20"/>
                <w:lang w:eastAsia="pl-PL"/>
                <w14:ligatures w14:val="none"/>
              </w:rPr>
              <w:t>x27</w:t>
            </w:r>
          </w:p>
        </w:tc>
        <w:tc>
          <w:tcPr>
            <w:tcW w:w="4391" w:type="dxa"/>
            <w:tcBorders>
              <w:top w:val="single" w:sz="4" w:space="0" w:color="auto"/>
              <w:left w:val="nil"/>
              <w:bottom w:val="single" w:sz="4" w:space="0" w:color="auto"/>
              <w:right w:val="double" w:sz="6" w:space="0" w:color="auto"/>
            </w:tcBorders>
            <w:shd w:val="clear" w:color="000000" w:fill="FF3399"/>
            <w:noWrap/>
            <w:vAlign w:val="bottom"/>
            <w:hideMark/>
          </w:tcPr>
          <w:p w14:paraId="1C515142" w14:textId="77777777" w:rsidR="00D809EA" w:rsidRPr="00D809EA" w:rsidRDefault="00D809EA" w:rsidP="00D809EA">
            <w:pPr>
              <w:spacing w:after="0" w:line="240" w:lineRule="auto"/>
              <w:rPr>
                <w:rFonts w:ascii="Calibri" w:eastAsia="Times New Roman" w:hAnsi="Calibri" w:cs="Calibri"/>
                <w:color w:val="000000"/>
                <w:kern w:val="0"/>
                <w:sz w:val="20"/>
                <w:szCs w:val="20"/>
                <w:lang w:eastAsia="pl-PL"/>
                <w14:ligatures w14:val="none"/>
              </w:rPr>
            </w:pPr>
            <w:r w:rsidRPr="00D809EA">
              <w:rPr>
                <w:rFonts w:ascii="Calibri" w:eastAsia="Times New Roman" w:hAnsi="Calibri" w:cs="Calibri"/>
                <w:color w:val="000000"/>
                <w:kern w:val="0"/>
                <w:sz w:val="20"/>
                <w:szCs w:val="20"/>
                <w:lang w:eastAsia="pl-PL"/>
                <w14:ligatures w14:val="none"/>
              </w:rPr>
              <w:t>nakłady inwestycyjne w przedsiębiorstwach na 1 mieszkańca w 2024 w setkach zł</w:t>
            </w:r>
          </w:p>
        </w:tc>
      </w:tr>
      <w:tr w:rsidR="00D809EA" w:rsidRPr="00D809EA" w14:paraId="026C560D" w14:textId="77777777" w:rsidTr="00D809EA">
        <w:trPr>
          <w:trHeight w:val="288"/>
          <w:jc w:val="center"/>
        </w:trPr>
        <w:tc>
          <w:tcPr>
            <w:tcW w:w="3340" w:type="dxa"/>
            <w:tcBorders>
              <w:top w:val="nil"/>
              <w:left w:val="double" w:sz="6" w:space="0" w:color="auto"/>
              <w:bottom w:val="single" w:sz="4" w:space="0" w:color="auto"/>
              <w:right w:val="single" w:sz="4" w:space="0" w:color="auto"/>
            </w:tcBorders>
            <w:shd w:val="clear" w:color="000000" w:fill="FF3399"/>
            <w:noWrap/>
            <w:vAlign w:val="bottom"/>
            <w:hideMark/>
          </w:tcPr>
          <w:p w14:paraId="04D214BC" w14:textId="77777777" w:rsidR="00D809EA" w:rsidRPr="00D809EA" w:rsidRDefault="00D809EA" w:rsidP="00D809EA">
            <w:pPr>
              <w:spacing w:after="0" w:line="240" w:lineRule="auto"/>
              <w:rPr>
                <w:rFonts w:ascii="Calibri" w:eastAsia="Times New Roman" w:hAnsi="Calibri" w:cs="Calibri"/>
                <w:color w:val="000000"/>
                <w:kern w:val="0"/>
                <w:sz w:val="20"/>
                <w:szCs w:val="20"/>
                <w:lang w:eastAsia="pl-PL"/>
                <w14:ligatures w14:val="none"/>
              </w:rPr>
            </w:pPr>
            <w:r w:rsidRPr="00D809EA">
              <w:rPr>
                <w:rFonts w:ascii="Calibri" w:eastAsia="Times New Roman" w:hAnsi="Calibri" w:cs="Calibri"/>
                <w:color w:val="000000"/>
                <w:kern w:val="0"/>
                <w:sz w:val="20"/>
                <w:szCs w:val="20"/>
                <w:lang w:eastAsia="pl-PL"/>
                <w14:ligatures w14:val="none"/>
              </w:rPr>
              <w:t>INWESTYCJE</w:t>
            </w:r>
          </w:p>
        </w:tc>
        <w:tc>
          <w:tcPr>
            <w:tcW w:w="1460" w:type="dxa"/>
            <w:tcBorders>
              <w:top w:val="nil"/>
              <w:left w:val="nil"/>
              <w:bottom w:val="single" w:sz="4" w:space="0" w:color="auto"/>
              <w:right w:val="single" w:sz="4" w:space="0" w:color="auto"/>
            </w:tcBorders>
            <w:shd w:val="clear" w:color="000000" w:fill="FF3399"/>
            <w:noWrap/>
            <w:vAlign w:val="bottom"/>
            <w:hideMark/>
          </w:tcPr>
          <w:p w14:paraId="0A7212D8" w14:textId="77777777" w:rsidR="00D809EA" w:rsidRPr="00D809EA" w:rsidRDefault="00D809EA" w:rsidP="00D809EA">
            <w:pPr>
              <w:spacing w:after="0" w:line="240" w:lineRule="auto"/>
              <w:rPr>
                <w:rFonts w:ascii="Calibri" w:eastAsia="Times New Roman" w:hAnsi="Calibri" w:cs="Calibri"/>
                <w:color w:val="000000"/>
                <w:kern w:val="0"/>
                <w:sz w:val="20"/>
                <w:szCs w:val="20"/>
                <w:lang w:eastAsia="pl-PL"/>
                <w14:ligatures w14:val="none"/>
              </w:rPr>
            </w:pPr>
            <w:r w:rsidRPr="00D809EA">
              <w:rPr>
                <w:rFonts w:ascii="Calibri" w:eastAsia="Times New Roman" w:hAnsi="Calibri" w:cs="Calibri"/>
                <w:color w:val="000000"/>
                <w:kern w:val="0"/>
                <w:sz w:val="20"/>
                <w:szCs w:val="20"/>
                <w:lang w:eastAsia="pl-PL"/>
                <w14:ligatures w14:val="none"/>
              </w:rPr>
              <w:t>x28</w:t>
            </w:r>
          </w:p>
        </w:tc>
        <w:tc>
          <w:tcPr>
            <w:tcW w:w="4391" w:type="dxa"/>
            <w:tcBorders>
              <w:top w:val="nil"/>
              <w:left w:val="nil"/>
              <w:bottom w:val="single" w:sz="4" w:space="0" w:color="auto"/>
              <w:right w:val="double" w:sz="6" w:space="0" w:color="auto"/>
            </w:tcBorders>
            <w:shd w:val="clear" w:color="000000" w:fill="FF3399"/>
            <w:noWrap/>
            <w:vAlign w:val="bottom"/>
            <w:hideMark/>
          </w:tcPr>
          <w:p w14:paraId="554991D4" w14:textId="77777777" w:rsidR="00D809EA" w:rsidRPr="00D809EA" w:rsidRDefault="00D809EA" w:rsidP="00D809EA">
            <w:pPr>
              <w:spacing w:after="0" w:line="240" w:lineRule="auto"/>
              <w:rPr>
                <w:rFonts w:ascii="Calibri" w:eastAsia="Times New Roman" w:hAnsi="Calibri" w:cs="Calibri"/>
                <w:color w:val="000000"/>
                <w:kern w:val="0"/>
                <w:sz w:val="22"/>
                <w:szCs w:val="22"/>
                <w:lang w:eastAsia="pl-PL"/>
                <w14:ligatures w14:val="none"/>
              </w:rPr>
            </w:pPr>
            <w:r w:rsidRPr="00D809EA">
              <w:rPr>
                <w:rFonts w:ascii="Calibri" w:eastAsia="Times New Roman" w:hAnsi="Calibri" w:cs="Calibri"/>
                <w:color w:val="000000"/>
                <w:kern w:val="0"/>
                <w:sz w:val="20"/>
                <w:szCs w:val="20"/>
                <w:lang w:eastAsia="pl-PL"/>
                <w14:ligatures w14:val="none"/>
              </w:rPr>
              <w:t xml:space="preserve"> WYDATKI BUDŻETÓW GMIN I MIAST NA PRAWACH POWIATU na 1 </w:t>
            </w:r>
            <w:proofErr w:type="spellStart"/>
            <w:r w:rsidRPr="00D809EA">
              <w:rPr>
                <w:rFonts w:ascii="Calibri" w:eastAsia="Times New Roman" w:hAnsi="Calibri" w:cs="Calibri"/>
                <w:color w:val="000000"/>
                <w:kern w:val="0"/>
                <w:sz w:val="20"/>
                <w:szCs w:val="20"/>
                <w:lang w:eastAsia="pl-PL"/>
                <w14:ligatures w14:val="none"/>
              </w:rPr>
              <w:t>mieszkanca</w:t>
            </w:r>
            <w:proofErr w:type="spellEnd"/>
            <w:r w:rsidRPr="00D809EA">
              <w:rPr>
                <w:rFonts w:ascii="Calibri" w:eastAsia="Times New Roman" w:hAnsi="Calibri" w:cs="Calibri"/>
                <w:color w:val="000000"/>
                <w:kern w:val="0"/>
                <w:sz w:val="20"/>
                <w:szCs w:val="20"/>
                <w:lang w:eastAsia="pl-PL"/>
                <w14:ligatures w14:val="none"/>
              </w:rPr>
              <w:t xml:space="preserve"> w 2024 w setkach zł</w:t>
            </w:r>
          </w:p>
        </w:tc>
      </w:tr>
      <w:tr w:rsidR="00D809EA" w:rsidRPr="00D809EA" w14:paraId="27083BF9" w14:textId="77777777" w:rsidTr="00D809EA">
        <w:trPr>
          <w:trHeight w:val="288"/>
          <w:jc w:val="center"/>
        </w:trPr>
        <w:tc>
          <w:tcPr>
            <w:tcW w:w="3340" w:type="dxa"/>
            <w:tcBorders>
              <w:top w:val="nil"/>
              <w:left w:val="double" w:sz="6" w:space="0" w:color="auto"/>
              <w:bottom w:val="single" w:sz="4" w:space="0" w:color="auto"/>
              <w:right w:val="single" w:sz="4" w:space="0" w:color="auto"/>
            </w:tcBorders>
            <w:shd w:val="clear" w:color="000000" w:fill="FF3399"/>
            <w:noWrap/>
            <w:vAlign w:val="bottom"/>
            <w:hideMark/>
          </w:tcPr>
          <w:p w14:paraId="112DD0A5" w14:textId="77777777" w:rsidR="00D809EA" w:rsidRPr="00D809EA" w:rsidRDefault="00D809EA" w:rsidP="00D809EA">
            <w:pPr>
              <w:spacing w:after="0" w:line="240" w:lineRule="auto"/>
              <w:rPr>
                <w:rFonts w:ascii="Calibri" w:eastAsia="Times New Roman" w:hAnsi="Calibri" w:cs="Calibri"/>
                <w:color w:val="000000"/>
                <w:kern w:val="0"/>
                <w:sz w:val="20"/>
                <w:szCs w:val="20"/>
                <w:lang w:eastAsia="pl-PL"/>
                <w14:ligatures w14:val="none"/>
              </w:rPr>
            </w:pPr>
            <w:r w:rsidRPr="00D809EA">
              <w:rPr>
                <w:rFonts w:ascii="Calibri" w:eastAsia="Times New Roman" w:hAnsi="Calibri" w:cs="Calibri"/>
                <w:color w:val="000000"/>
                <w:kern w:val="0"/>
                <w:sz w:val="20"/>
                <w:szCs w:val="20"/>
                <w:lang w:eastAsia="pl-PL"/>
                <w14:ligatures w14:val="none"/>
              </w:rPr>
              <w:t>INWESTYCJE</w:t>
            </w:r>
          </w:p>
        </w:tc>
        <w:tc>
          <w:tcPr>
            <w:tcW w:w="1460" w:type="dxa"/>
            <w:tcBorders>
              <w:top w:val="nil"/>
              <w:left w:val="nil"/>
              <w:bottom w:val="single" w:sz="4" w:space="0" w:color="auto"/>
              <w:right w:val="single" w:sz="4" w:space="0" w:color="auto"/>
            </w:tcBorders>
            <w:shd w:val="clear" w:color="000000" w:fill="FF3399"/>
            <w:noWrap/>
            <w:vAlign w:val="bottom"/>
            <w:hideMark/>
          </w:tcPr>
          <w:p w14:paraId="25AA0BF5" w14:textId="77777777" w:rsidR="00D809EA" w:rsidRPr="00D809EA" w:rsidRDefault="00D809EA" w:rsidP="00D809EA">
            <w:pPr>
              <w:spacing w:after="0" w:line="240" w:lineRule="auto"/>
              <w:rPr>
                <w:rFonts w:ascii="Calibri" w:eastAsia="Times New Roman" w:hAnsi="Calibri" w:cs="Calibri"/>
                <w:color w:val="000000"/>
                <w:kern w:val="0"/>
                <w:sz w:val="20"/>
                <w:szCs w:val="20"/>
                <w:lang w:eastAsia="pl-PL"/>
                <w14:ligatures w14:val="none"/>
              </w:rPr>
            </w:pPr>
            <w:r w:rsidRPr="00D809EA">
              <w:rPr>
                <w:rFonts w:ascii="Calibri" w:eastAsia="Times New Roman" w:hAnsi="Calibri" w:cs="Calibri"/>
                <w:color w:val="000000"/>
                <w:kern w:val="0"/>
                <w:sz w:val="20"/>
                <w:szCs w:val="20"/>
                <w:lang w:eastAsia="pl-PL"/>
                <w14:ligatures w14:val="none"/>
              </w:rPr>
              <w:t>x29</w:t>
            </w:r>
          </w:p>
        </w:tc>
        <w:tc>
          <w:tcPr>
            <w:tcW w:w="4391" w:type="dxa"/>
            <w:tcBorders>
              <w:top w:val="nil"/>
              <w:left w:val="nil"/>
              <w:bottom w:val="single" w:sz="4" w:space="0" w:color="auto"/>
              <w:right w:val="double" w:sz="6" w:space="0" w:color="auto"/>
            </w:tcBorders>
            <w:shd w:val="clear" w:color="000000" w:fill="FF3399"/>
            <w:noWrap/>
            <w:vAlign w:val="bottom"/>
            <w:hideMark/>
          </w:tcPr>
          <w:p w14:paraId="07998176" w14:textId="77777777" w:rsidR="00D809EA" w:rsidRPr="00D809EA" w:rsidRDefault="00D809EA" w:rsidP="00D809EA">
            <w:pPr>
              <w:spacing w:after="0" w:line="240" w:lineRule="auto"/>
              <w:rPr>
                <w:rFonts w:ascii="Calibri" w:eastAsia="Times New Roman" w:hAnsi="Calibri" w:cs="Calibri"/>
                <w:color w:val="000000"/>
                <w:kern w:val="0"/>
                <w:sz w:val="20"/>
                <w:szCs w:val="20"/>
                <w:lang w:eastAsia="pl-PL"/>
                <w14:ligatures w14:val="none"/>
              </w:rPr>
            </w:pPr>
            <w:r w:rsidRPr="00D809EA">
              <w:rPr>
                <w:rFonts w:ascii="Calibri" w:eastAsia="Times New Roman" w:hAnsi="Calibri" w:cs="Calibri"/>
                <w:color w:val="000000"/>
                <w:kern w:val="0"/>
                <w:sz w:val="20"/>
                <w:szCs w:val="20"/>
                <w:lang w:eastAsia="pl-PL"/>
                <w14:ligatures w14:val="none"/>
              </w:rPr>
              <w:t xml:space="preserve">Wydatki </w:t>
            </w:r>
            <w:proofErr w:type="spellStart"/>
            <w:r w:rsidRPr="00D809EA">
              <w:rPr>
                <w:rFonts w:ascii="Calibri" w:eastAsia="Times New Roman" w:hAnsi="Calibri" w:cs="Calibri"/>
                <w:color w:val="000000"/>
                <w:kern w:val="0"/>
                <w:sz w:val="20"/>
                <w:szCs w:val="20"/>
                <w:lang w:eastAsia="pl-PL"/>
                <w14:ligatures w14:val="none"/>
              </w:rPr>
              <w:t>budzetów</w:t>
            </w:r>
            <w:proofErr w:type="spellEnd"/>
            <w:r w:rsidRPr="00D809EA">
              <w:rPr>
                <w:rFonts w:ascii="Calibri" w:eastAsia="Times New Roman" w:hAnsi="Calibri" w:cs="Calibri"/>
                <w:color w:val="000000"/>
                <w:kern w:val="0"/>
                <w:sz w:val="20"/>
                <w:szCs w:val="20"/>
                <w:lang w:eastAsia="pl-PL"/>
                <w14:ligatures w14:val="none"/>
              </w:rPr>
              <w:t xml:space="preserve"> gmin I miast na prawach powiatu na kulturę I ochronę dziedzictwa narodowego na 1 </w:t>
            </w:r>
            <w:proofErr w:type="spellStart"/>
            <w:r w:rsidRPr="00D809EA">
              <w:rPr>
                <w:rFonts w:ascii="Calibri" w:eastAsia="Times New Roman" w:hAnsi="Calibri" w:cs="Calibri"/>
                <w:color w:val="000000"/>
                <w:kern w:val="0"/>
                <w:sz w:val="20"/>
                <w:szCs w:val="20"/>
                <w:lang w:eastAsia="pl-PL"/>
                <w14:ligatures w14:val="none"/>
              </w:rPr>
              <w:t>mieszkanca</w:t>
            </w:r>
            <w:proofErr w:type="spellEnd"/>
            <w:r w:rsidRPr="00D809EA">
              <w:rPr>
                <w:rFonts w:ascii="Calibri" w:eastAsia="Times New Roman" w:hAnsi="Calibri" w:cs="Calibri"/>
                <w:color w:val="000000"/>
                <w:kern w:val="0"/>
                <w:sz w:val="20"/>
                <w:szCs w:val="20"/>
                <w:lang w:eastAsia="pl-PL"/>
                <w14:ligatures w14:val="none"/>
              </w:rPr>
              <w:t xml:space="preserve"> w 2024 w dziesiątkach złotych</w:t>
            </w:r>
          </w:p>
        </w:tc>
      </w:tr>
      <w:tr w:rsidR="00D809EA" w:rsidRPr="00D809EA" w14:paraId="7C46A8F0" w14:textId="77777777" w:rsidTr="00D809EA">
        <w:trPr>
          <w:trHeight w:val="288"/>
          <w:jc w:val="center"/>
        </w:trPr>
        <w:tc>
          <w:tcPr>
            <w:tcW w:w="3340" w:type="dxa"/>
            <w:tcBorders>
              <w:top w:val="nil"/>
              <w:left w:val="double" w:sz="6" w:space="0" w:color="auto"/>
              <w:bottom w:val="single" w:sz="4" w:space="0" w:color="auto"/>
              <w:right w:val="single" w:sz="4" w:space="0" w:color="auto"/>
            </w:tcBorders>
            <w:shd w:val="clear" w:color="000000" w:fill="FF3399"/>
            <w:noWrap/>
            <w:vAlign w:val="bottom"/>
            <w:hideMark/>
          </w:tcPr>
          <w:p w14:paraId="01F18A77" w14:textId="77777777" w:rsidR="00D809EA" w:rsidRPr="00D809EA" w:rsidRDefault="00D809EA" w:rsidP="00D809EA">
            <w:pPr>
              <w:spacing w:after="0" w:line="240" w:lineRule="auto"/>
              <w:rPr>
                <w:rFonts w:ascii="Calibri" w:eastAsia="Times New Roman" w:hAnsi="Calibri" w:cs="Calibri"/>
                <w:color w:val="000000"/>
                <w:kern w:val="0"/>
                <w:sz w:val="20"/>
                <w:szCs w:val="20"/>
                <w:lang w:eastAsia="pl-PL"/>
                <w14:ligatures w14:val="none"/>
              </w:rPr>
            </w:pPr>
            <w:r w:rsidRPr="00D809EA">
              <w:rPr>
                <w:rFonts w:ascii="Calibri" w:eastAsia="Times New Roman" w:hAnsi="Calibri" w:cs="Calibri"/>
                <w:color w:val="000000"/>
                <w:kern w:val="0"/>
                <w:sz w:val="20"/>
                <w:szCs w:val="20"/>
                <w:lang w:eastAsia="pl-PL"/>
                <w14:ligatures w14:val="none"/>
              </w:rPr>
              <w:t>INWESTYCJE</w:t>
            </w:r>
          </w:p>
        </w:tc>
        <w:tc>
          <w:tcPr>
            <w:tcW w:w="1460" w:type="dxa"/>
            <w:tcBorders>
              <w:top w:val="nil"/>
              <w:left w:val="nil"/>
              <w:bottom w:val="single" w:sz="4" w:space="0" w:color="auto"/>
              <w:right w:val="single" w:sz="4" w:space="0" w:color="auto"/>
            </w:tcBorders>
            <w:shd w:val="clear" w:color="000000" w:fill="FF3399"/>
            <w:noWrap/>
            <w:vAlign w:val="bottom"/>
            <w:hideMark/>
          </w:tcPr>
          <w:p w14:paraId="2A59A3E4" w14:textId="77777777" w:rsidR="00D809EA" w:rsidRPr="00D809EA" w:rsidRDefault="00D809EA" w:rsidP="00D809EA">
            <w:pPr>
              <w:spacing w:after="0" w:line="240" w:lineRule="auto"/>
              <w:rPr>
                <w:rFonts w:ascii="Calibri" w:eastAsia="Times New Roman" w:hAnsi="Calibri" w:cs="Calibri"/>
                <w:color w:val="000000"/>
                <w:kern w:val="0"/>
                <w:sz w:val="20"/>
                <w:szCs w:val="20"/>
                <w:lang w:eastAsia="pl-PL"/>
                <w14:ligatures w14:val="none"/>
              </w:rPr>
            </w:pPr>
            <w:r w:rsidRPr="00D809EA">
              <w:rPr>
                <w:rFonts w:ascii="Calibri" w:eastAsia="Times New Roman" w:hAnsi="Calibri" w:cs="Calibri"/>
                <w:color w:val="000000"/>
                <w:kern w:val="0"/>
                <w:sz w:val="20"/>
                <w:szCs w:val="20"/>
                <w:lang w:eastAsia="pl-PL"/>
                <w14:ligatures w14:val="none"/>
              </w:rPr>
              <w:t>x30</w:t>
            </w:r>
          </w:p>
        </w:tc>
        <w:tc>
          <w:tcPr>
            <w:tcW w:w="4391" w:type="dxa"/>
            <w:tcBorders>
              <w:top w:val="nil"/>
              <w:left w:val="nil"/>
              <w:bottom w:val="single" w:sz="4" w:space="0" w:color="auto"/>
              <w:right w:val="double" w:sz="6" w:space="0" w:color="auto"/>
            </w:tcBorders>
            <w:shd w:val="clear" w:color="000000" w:fill="FF3399"/>
            <w:noWrap/>
            <w:vAlign w:val="bottom"/>
            <w:hideMark/>
          </w:tcPr>
          <w:p w14:paraId="4BF11F32" w14:textId="77777777" w:rsidR="00D809EA" w:rsidRPr="00D809EA" w:rsidRDefault="00D809EA" w:rsidP="00D809EA">
            <w:pPr>
              <w:spacing w:after="0" w:line="240" w:lineRule="auto"/>
              <w:rPr>
                <w:rFonts w:ascii="Calibri" w:eastAsia="Times New Roman" w:hAnsi="Calibri" w:cs="Calibri"/>
                <w:color w:val="000000"/>
                <w:kern w:val="0"/>
                <w:sz w:val="20"/>
                <w:szCs w:val="20"/>
                <w:lang w:eastAsia="pl-PL"/>
                <w14:ligatures w14:val="none"/>
              </w:rPr>
            </w:pPr>
            <w:r w:rsidRPr="00D809EA">
              <w:rPr>
                <w:rFonts w:ascii="Calibri" w:eastAsia="Times New Roman" w:hAnsi="Calibri" w:cs="Calibri"/>
                <w:color w:val="000000"/>
                <w:kern w:val="0"/>
                <w:sz w:val="20"/>
                <w:szCs w:val="20"/>
                <w:lang w:eastAsia="pl-PL"/>
                <w14:ligatures w14:val="none"/>
              </w:rPr>
              <w:t xml:space="preserve">Wydatki </w:t>
            </w:r>
            <w:proofErr w:type="spellStart"/>
            <w:r w:rsidRPr="00D809EA">
              <w:rPr>
                <w:rFonts w:ascii="Calibri" w:eastAsia="Times New Roman" w:hAnsi="Calibri" w:cs="Calibri"/>
                <w:color w:val="000000"/>
                <w:kern w:val="0"/>
                <w:sz w:val="20"/>
                <w:szCs w:val="20"/>
                <w:lang w:eastAsia="pl-PL"/>
                <w14:ligatures w14:val="none"/>
              </w:rPr>
              <w:t>budzetów</w:t>
            </w:r>
            <w:proofErr w:type="spellEnd"/>
            <w:r w:rsidRPr="00D809EA">
              <w:rPr>
                <w:rFonts w:ascii="Calibri" w:eastAsia="Times New Roman" w:hAnsi="Calibri" w:cs="Calibri"/>
                <w:color w:val="000000"/>
                <w:kern w:val="0"/>
                <w:sz w:val="20"/>
                <w:szCs w:val="20"/>
                <w:lang w:eastAsia="pl-PL"/>
                <w14:ligatures w14:val="none"/>
              </w:rPr>
              <w:t xml:space="preserve"> gmin I miast na prawach powiatu na </w:t>
            </w:r>
            <w:proofErr w:type="spellStart"/>
            <w:r w:rsidRPr="00D809EA">
              <w:rPr>
                <w:rFonts w:ascii="Calibri" w:eastAsia="Times New Roman" w:hAnsi="Calibri" w:cs="Calibri"/>
                <w:color w:val="000000"/>
                <w:kern w:val="0"/>
                <w:sz w:val="20"/>
                <w:szCs w:val="20"/>
                <w:lang w:eastAsia="pl-PL"/>
                <w14:ligatures w14:val="none"/>
              </w:rPr>
              <w:t>oświatena</w:t>
            </w:r>
            <w:proofErr w:type="spellEnd"/>
            <w:r w:rsidRPr="00D809EA">
              <w:rPr>
                <w:rFonts w:ascii="Calibri" w:eastAsia="Times New Roman" w:hAnsi="Calibri" w:cs="Calibri"/>
                <w:color w:val="000000"/>
                <w:kern w:val="0"/>
                <w:sz w:val="20"/>
                <w:szCs w:val="20"/>
                <w:lang w:eastAsia="pl-PL"/>
                <w14:ligatures w14:val="none"/>
              </w:rPr>
              <w:t xml:space="preserve"> 1 </w:t>
            </w:r>
            <w:proofErr w:type="spellStart"/>
            <w:r w:rsidRPr="00D809EA">
              <w:rPr>
                <w:rFonts w:ascii="Calibri" w:eastAsia="Times New Roman" w:hAnsi="Calibri" w:cs="Calibri"/>
                <w:color w:val="000000"/>
                <w:kern w:val="0"/>
                <w:sz w:val="20"/>
                <w:szCs w:val="20"/>
                <w:lang w:eastAsia="pl-PL"/>
                <w14:ligatures w14:val="none"/>
              </w:rPr>
              <w:t>mieszkanca</w:t>
            </w:r>
            <w:proofErr w:type="spellEnd"/>
            <w:r w:rsidRPr="00D809EA">
              <w:rPr>
                <w:rFonts w:ascii="Calibri" w:eastAsia="Times New Roman" w:hAnsi="Calibri" w:cs="Calibri"/>
                <w:color w:val="000000"/>
                <w:kern w:val="0"/>
                <w:sz w:val="20"/>
                <w:szCs w:val="20"/>
                <w:lang w:eastAsia="pl-PL"/>
                <w14:ligatures w14:val="none"/>
              </w:rPr>
              <w:t xml:space="preserve"> w 2024 w setkach zł</w:t>
            </w:r>
          </w:p>
        </w:tc>
      </w:tr>
    </w:tbl>
    <w:p w14:paraId="06E49454" w14:textId="77777777" w:rsidR="004952BE" w:rsidRDefault="004952BE">
      <w:pPr>
        <w:rPr>
          <w:noProof/>
        </w:rPr>
      </w:pPr>
      <w:r>
        <w:fldChar w:fldCharType="end"/>
      </w:r>
      <w:r w:rsidRPr="004952BE">
        <w:rPr>
          <w:noProof/>
        </w:rPr>
        <w:t xml:space="preserve"> </w:t>
      </w:r>
    </w:p>
    <w:p w14:paraId="6736CFB3" w14:textId="77777777" w:rsidR="0024737D" w:rsidRDefault="0024737D">
      <w:pPr>
        <w:rPr>
          <w:noProof/>
        </w:rPr>
      </w:pPr>
    </w:p>
    <w:p w14:paraId="4EEC8E75" w14:textId="74BB671D" w:rsidR="0024737D" w:rsidRDefault="0024737D" w:rsidP="00E65779">
      <w:pPr>
        <w:pStyle w:val="Heading2"/>
        <w:rPr>
          <w:noProof/>
        </w:rPr>
      </w:pPr>
      <w:r>
        <w:rPr>
          <w:noProof/>
        </w:rPr>
        <w:lastRenderedPageBreak/>
        <w:t>Analiza siły związków liniowych</w:t>
      </w:r>
    </w:p>
    <w:p w14:paraId="13800CBB" w14:textId="7AB1052C" w:rsidR="00E65779" w:rsidRDefault="00E65779">
      <w:pPr>
        <w:rPr>
          <w:noProof/>
        </w:rPr>
      </w:pPr>
      <w:r w:rsidRPr="00E65779">
        <w:rPr>
          <w:noProof/>
        </w:rPr>
        <w:t xml:space="preserve">Przed przystąpieniem do procedury korelacji kanonicznej, zweryfikowano strukturę powiązań liniowych wewnątrz oraz pomiędzy zbiorami </w:t>
      </w:r>
      <m:oMath>
        <m:r>
          <w:rPr>
            <w:rFonts w:ascii="Cambria Math" w:hAnsi="Cambria Math"/>
          </w:rPr>
          <m:t>X</m:t>
        </m:r>
      </m:oMath>
      <w:r w:rsidRPr="00E65779">
        <w:rPr>
          <w:noProof/>
        </w:rPr>
        <w:t xml:space="preserve"> i </w:t>
      </w:r>
      <m:oMath>
        <m:r>
          <w:rPr>
            <w:rFonts w:ascii="Cambria Math" w:hAnsi="Cambria Math"/>
          </w:rPr>
          <m:t>Y</m:t>
        </m:r>
      </m:oMath>
      <w:r w:rsidRPr="00E65779">
        <w:rPr>
          <w:noProof/>
        </w:rPr>
        <w:t>. Na Rysunku 1 przedstawiono zestawienie macierzy korelacji dla wszystkich analizowanych kombinacji cech.</w:t>
      </w:r>
    </w:p>
    <w:p w14:paraId="4F6D1E35" w14:textId="77777777" w:rsidR="00E65779" w:rsidRDefault="00E65779">
      <w:pPr>
        <w:rPr>
          <w:noProof/>
        </w:rPr>
      </w:pPr>
    </w:p>
    <w:p w14:paraId="17D6AFBA" w14:textId="77777777" w:rsidR="00AD06DF" w:rsidRDefault="00B732E0" w:rsidP="00AD06DF">
      <w:pPr>
        <w:keepNext/>
      </w:pPr>
      <w:r w:rsidRPr="00B732E0">
        <w:rPr>
          <w:noProof/>
        </w:rPr>
        <w:drawing>
          <wp:inline distT="0" distB="0" distL="0" distR="0" wp14:anchorId="281872AC" wp14:editId="126AE368">
            <wp:extent cx="5760720" cy="4062095"/>
            <wp:effectExtent l="0" t="0" r="0" b="0"/>
            <wp:docPr id="906787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87642" name=""/>
                    <pic:cNvPicPr/>
                  </pic:nvPicPr>
                  <pic:blipFill>
                    <a:blip r:embed="rId7"/>
                    <a:stretch>
                      <a:fillRect/>
                    </a:stretch>
                  </pic:blipFill>
                  <pic:spPr>
                    <a:xfrm>
                      <a:off x="0" y="0"/>
                      <a:ext cx="5760720" cy="4062095"/>
                    </a:xfrm>
                    <a:prstGeom prst="rect">
                      <a:avLst/>
                    </a:prstGeom>
                  </pic:spPr>
                </pic:pic>
              </a:graphicData>
            </a:graphic>
          </wp:inline>
        </w:drawing>
      </w:r>
    </w:p>
    <w:p w14:paraId="2220273F" w14:textId="67B10EAA" w:rsidR="00AD06DF" w:rsidRDefault="00AD06DF" w:rsidP="00AD06DF">
      <w:pPr>
        <w:pStyle w:val="Caption"/>
      </w:pPr>
      <w:r>
        <w:t xml:space="preserve">Rysunek </w:t>
      </w:r>
      <w:fldSimple w:instr=" SEQ Rysunek \* ARABIC ">
        <w:r w:rsidR="00BF503C">
          <w:rPr>
            <w:noProof/>
          </w:rPr>
          <w:t>1</w:t>
        </w:r>
      </w:fldSimple>
      <w:r>
        <w:t xml:space="preserve"> Wszystkie kombinacje korelacji między zmiennymi kanonicznymi X, Y</w:t>
      </w:r>
    </w:p>
    <w:p w14:paraId="67F6413C" w14:textId="74C07F0B" w:rsidR="004952BE" w:rsidRDefault="007437AA">
      <w:r>
        <w:br/>
      </w:r>
    </w:p>
    <w:p w14:paraId="7196FEE4" w14:textId="1979BE84" w:rsidR="007437AA" w:rsidRDefault="007437AA" w:rsidP="007437AA">
      <w:pPr>
        <w:pStyle w:val="ListParagraph"/>
        <w:numPr>
          <w:ilvl w:val="0"/>
          <w:numId w:val="1"/>
        </w:numPr>
      </w:pPr>
      <w:r w:rsidRPr="004706EF">
        <w:rPr>
          <w:b/>
          <w:bCs/>
        </w:rPr>
        <w:t>Korelacje wewnątrz podsystemu Gospodarki (Zbiór X)</w:t>
      </w:r>
      <w:r>
        <w:br/>
      </w:r>
      <w:r w:rsidRPr="007437AA">
        <w:t>Wszystkie cechy z tej grupy (</w:t>
      </w:r>
      <m:oMath>
        <m:r>
          <w:rPr>
            <w:rFonts w:ascii="Cambria Math" w:hAnsi="Cambria Math"/>
          </w:rPr>
          <m:t>x11</m:t>
        </m:r>
      </m:oMath>
      <w:r w:rsidRPr="007437AA">
        <w:t>–</w:t>
      </w:r>
      <m:oMath>
        <m:r>
          <w:rPr>
            <w:rFonts w:ascii="Cambria Math" w:hAnsi="Cambria Math"/>
          </w:rPr>
          <m:t>x15</m:t>
        </m:r>
      </m:oMath>
      <w:r w:rsidRPr="007437AA">
        <w:t xml:space="preserve">) wykazują bardzo silną współzależność, a wskaźniki korelacji przekraczają próg </w:t>
      </w:r>
      <m:oMath>
        <m:r>
          <w:rPr>
            <w:rFonts w:ascii="Cambria Math" w:hAnsi="Cambria Math"/>
          </w:rPr>
          <m:t>0.80</m:t>
        </m:r>
      </m:oMath>
      <w:r w:rsidRPr="007437AA">
        <w:t xml:space="preserve">. Oznacza to, że wysokie PKB, </w:t>
      </w:r>
      <w:r w:rsidR="005F7F2B">
        <w:t>liczba</w:t>
      </w:r>
      <w:r w:rsidRPr="007437AA">
        <w:t xml:space="preserve"> prowadzonych firm</w:t>
      </w:r>
      <w:r w:rsidR="005F7F2B">
        <w:t xml:space="preserve"> per capita</w:t>
      </w:r>
      <w:r w:rsidRPr="007437AA">
        <w:t xml:space="preserve"> oraz wysokie zarobki mocno idą ze sobą w parze i wspólnie budują jeden silny wymiar </w:t>
      </w:r>
      <w:r w:rsidR="005F7F2B">
        <w:t>definiujący gospodarkę</w:t>
      </w:r>
      <w:r w:rsidRPr="007437AA">
        <w:t>.</w:t>
      </w:r>
    </w:p>
    <w:p w14:paraId="28763C1E" w14:textId="77777777" w:rsidR="004706EF" w:rsidRDefault="004706EF" w:rsidP="004706EF">
      <w:pPr>
        <w:pStyle w:val="ListParagraph"/>
      </w:pPr>
    </w:p>
    <w:p w14:paraId="5CC1BE12" w14:textId="19554CE3" w:rsidR="004706EF" w:rsidRDefault="007437AA" w:rsidP="004706EF">
      <w:pPr>
        <w:pStyle w:val="ListParagraph"/>
        <w:numPr>
          <w:ilvl w:val="0"/>
          <w:numId w:val="1"/>
        </w:numPr>
      </w:pPr>
      <w:r w:rsidRPr="004706EF">
        <w:rPr>
          <w:b/>
          <w:bCs/>
        </w:rPr>
        <w:t>Korelacje wewnątrz podsystemu Inwestycji (Zbiór Y)</w:t>
      </w:r>
      <w:r>
        <w:br/>
      </w:r>
      <w:r w:rsidRPr="007437AA">
        <w:t>W tej grupie korelacje są wysokie, ale z wyraźnymi wyjątkami dla wydatków na kulturę (</w:t>
      </w:r>
      <m:oMath>
        <m:r>
          <w:rPr>
            <w:rFonts w:ascii="Cambria Math" w:hAnsi="Cambria Math"/>
          </w:rPr>
          <m:t>x29</m:t>
        </m:r>
      </m:oMath>
      <w:r w:rsidRPr="007437AA">
        <w:t>). Para nakłady inwestycyjne firm (</w:t>
      </w:r>
      <m:oMath>
        <m:r>
          <w:rPr>
            <w:rFonts w:ascii="Cambria Math" w:hAnsi="Cambria Math"/>
          </w:rPr>
          <m:t>x27</m:t>
        </m:r>
      </m:oMath>
      <w:r w:rsidRPr="007437AA">
        <w:t>) a wydatki na kulturę (</w:t>
      </w:r>
      <m:oMath>
        <m:r>
          <w:rPr>
            <w:rFonts w:ascii="Cambria Math" w:hAnsi="Cambria Math"/>
          </w:rPr>
          <m:t>x29</m:t>
        </m:r>
      </m:oMath>
      <w:r w:rsidRPr="007437AA">
        <w:t>) cechuje się tylko umiarkowaną korelacją (</w:t>
      </w:r>
      <m:oMath>
        <m:r>
          <w:rPr>
            <w:rFonts w:ascii="Cambria Math" w:hAnsi="Cambria Math"/>
          </w:rPr>
          <m:t>0.41</m:t>
        </m:r>
      </m:oMath>
      <w:r w:rsidRPr="007437AA">
        <w:t xml:space="preserve">) </w:t>
      </w:r>
      <w:r>
        <w:t>–</w:t>
      </w:r>
      <w:r w:rsidRPr="007437AA">
        <w:t xml:space="preserve"> czyl</w:t>
      </w:r>
      <w:r>
        <w:t>i</w:t>
      </w:r>
      <w:r w:rsidRPr="007437AA">
        <w:t xml:space="preserve"> inwestycje przedsiębiorstw </w:t>
      </w:r>
      <w:r w:rsidRPr="007437AA">
        <w:lastRenderedPageBreak/>
        <w:t xml:space="preserve">idą z kulturą w parze tylko </w:t>
      </w:r>
      <w:r w:rsidR="005F7F2B">
        <w:t>częściowo</w:t>
      </w:r>
      <w:r w:rsidRPr="007437AA">
        <w:t>. Z kolei para wydatki na kulturę (</w:t>
      </w:r>
      <m:oMath>
        <m:r>
          <w:rPr>
            <w:rFonts w:ascii="Cambria Math" w:hAnsi="Cambria Math"/>
          </w:rPr>
          <m:t>x29</m:t>
        </m:r>
      </m:oMath>
      <w:r w:rsidRPr="007437AA">
        <w:t>) a wydatki na oświatę (</w:t>
      </w:r>
      <m:oMath>
        <m:r>
          <w:rPr>
            <w:rFonts w:ascii="Cambria Math" w:hAnsi="Cambria Math"/>
          </w:rPr>
          <m:t>x30</m:t>
        </m:r>
      </m:oMath>
      <w:r w:rsidRPr="007437AA">
        <w:t>) ma słabą korelację (</w:t>
      </w:r>
      <m:oMath>
        <m:r>
          <w:rPr>
            <w:rFonts w:ascii="Cambria Math" w:hAnsi="Cambria Math"/>
          </w:rPr>
          <m:t>0.18</m:t>
        </m:r>
      </m:oMath>
      <w:r w:rsidRPr="007437AA">
        <w:t>), co oznacza, że wydatki na te dwa obszary społeczne nie są ze sobą bezpośrednio powiązane.</w:t>
      </w:r>
    </w:p>
    <w:p w14:paraId="44A9BA84" w14:textId="77777777" w:rsidR="004706EF" w:rsidRDefault="004706EF" w:rsidP="004706EF"/>
    <w:p w14:paraId="5A983F07" w14:textId="78736F49" w:rsidR="00961ECD" w:rsidRDefault="00961ECD" w:rsidP="007437AA">
      <w:pPr>
        <w:pStyle w:val="ListParagraph"/>
        <w:numPr>
          <w:ilvl w:val="0"/>
          <w:numId w:val="1"/>
        </w:numPr>
      </w:pPr>
      <w:r w:rsidRPr="004706EF">
        <w:rPr>
          <w:b/>
          <w:bCs/>
        </w:rPr>
        <w:t>Korelacje krzyżowe (Gospodarka X vs Inwestycje Y)</w:t>
      </w:r>
      <w:r>
        <w:br/>
      </w:r>
      <w:r w:rsidRPr="00961ECD">
        <w:t xml:space="preserve">W przypadku porównania obu zbiorów ze sobą, niemal wszystkie cechy charakteryzują silne relacje powyżej </w:t>
      </w:r>
      <m:oMath>
        <m:r>
          <w:rPr>
            <w:rFonts w:ascii="Cambria Math" w:hAnsi="Cambria Math"/>
          </w:rPr>
          <m:t>0.50</m:t>
        </m:r>
      </m:oMath>
      <w:r w:rsidRPr="00961ECD">
        <w:t>. Wyjątkiem są ponownie wydatki na kulturę (</w:t>
      </w:r>
      <m:oMath>
        <m:r>
          <w:rPr>
            <w:rFonts w:ascii="Cambria Math" w:hAnsi="Cambria Math"/>
          </w:rPr>
          <m:t>x29</m:t>
        </m:r>
      </m:oMath>
      <w:r w:rsidRPr="00961ECD">
        <w:t>). Pokazują one słabszy związek z PKB na osobę (</w:t>
      </w:r>
      <m:oMath>
        <m:r>
          <w:rPr>
            <w:rFonts w:ascii="Cambria Math" w:hAnsi="Cambria Math"/>
          </w:rPr>
          <m:t>x11</m:t>
        </m:r>
      </m:oMath>
      <w:r w:rsidRPr="00961ECD">
        <w:t xml:space="preserve">: </w:t>
      </w:r>
      <m:oMath>
        <m:r>
          <w:rPr>
            <w:rFonts w:ascii="Cambria Math" w:hAnsi="Cambria Math"/>
          </w:rPr>
          <m:t>0.44</m:t>
        </m:r>
      </m:oMath>
      <w:r w:rsidRPr="00961ECD">
        <w:t>) oraz z dochodami budżetów województw (</w:t>
      </w:r>
      <m:oMath>
        <m:r>
          <w:rPr>
            <w:rFonts w:ascii="Cambria Math" w:hAnsi="Cambria Math"/>
          </w:rPr>
          <m:t>x13</m:t>
        </m:r>
      </m:oMath>
      <w:r w:rsidRPr="00961ECD">
        <w:t xml:space="preserve">: </w:t>
      </w:r>
      <m:oMath>
        <m:r>
          <w:rPr>
            <w:rFonts w:ascii="Cambria Math" w:hAnsi="Cambria Math"/>
          </w:rPr>
          <m:t>0.47</m:t>
        </m:r>
      </m:oMath>
      <w:r w:rsidRPr="00961ECD">
        <w:t xml:space="preserve">). </w:t>
      </w:r>
    </w:p>
    <w:p w14:paraId="1D0DEEB0" w14:textId="5207EA78" w:rsidR="00961ECD" w:rsidRDefault="00961ECD" w:rsidP="00961ECD">
      <w:pPr>
        <w:ind w:left="360"/>
      </w:pPr>
      <w:r w:rsidRPr="00961ECD">
        <w:t xml:space="preserve">Analizę dopełnia Rysunek 2, który przedstawia wykresy rozrzutu wzbogacone o czerwoną linię trendu. </w:t>
      </w:r>
      <w:r w:rsidR="005F7F2B">
        <w:t>Widać</w:t>
      </w:r>
      <w:r w:rsidRPr="00961ECD">
        <w:t xml:space="preserve"> na nich, że wzrost jednej cechy w uogólnieniu oznacza automatyczny wzrost drugiej. Ciekawym zjawiskiem jest jednak to, że na niemal każdym wykresie występuje ta sama wartość nietypowa</w:t>
      </w:r>
      <w:r>
        <w:t>,</w:t>
      </w:r>
      <w:r w:rsidRPr="00961ECD">
        <w:t xml:space="preserve"> punkt reprezentujący województwo mazowieckie. Mimo przeskalowania cech na wskaźniki gęstości</w:t>
      </w:r>
      <w:r>
        <w:t xml:space="preserve">, </w:t>
      </w:r>
      <w:r w:rsidRPr="00961ECD">
        <w:t>czyli na osobę, na 100 osób czy na kilometr kwadratowy, mazowieckie nadal drastycznie odbiega w górę od reszty kraju. Jest to w pełni zrozumiałe, ponieważ w Warszawie realizuje się najwięcej inwestycji, a duża część wydatków na kulturę i oświatę skupia się w stolicy, gdzie zlokalizowane są najlepsze szkoły, uczelnie oraz kluczowe wydarzenia kulturalne w Polsce.</w:t>
      </w:r>
    </w:p>
    <w:p w14:paraId="0FC81F9A" w14:textId="77777777" w:rsidR="00AD06DF" w:rsidRDefault="00B732E0" w:rsidP="00AD06DF">
      <w:pPr>
        <w:keepNext/>
        <w:jc w:val="center"/>
      </w:pPr>
      <w:r w:rsidRPr="00B732E0">
        <w:rPr>
          <w:noProof/>
        </w:rPr>
        <w:drawing>
          <wp:inline distT="0" distB="0" distL="0" distR="0" wp14:anchorId="4FCAF14B" wp14:editId="350A9B6F">
            <wp:extent cx="5286506" cy="3589020"/>
            <wp:effectExtent l="0" t="0" r="9525" b="0"/>
            <wp:docPr id="156964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48982" name=""/>
                    <pic:cNvPicPr/>
                  </pic:nvPicPr>
                  <pic:blipFill>
                    <a:blip r:embed="rId8"/>
                    <a:stretch>
                      <a:fillRect/>
                    </a:stretch>
                  </pic:blipFill>
                  <pic:spPr>
                    <a:xfrm>
                      <a:off x="0" y="0"/>
                      <a:ext cx="5289310" cy="3590924"/>
                    </a:xfrm>
                    <a:prstGeom prst="rect">
                      <a:avLst/>
                    </a:prstGeom>
                  </pic:spPr>
                </pic:pic>
              </a:graphicData>
            </a:graphic>
          </wp:inline>
        </w:drawing>
      </w:r>
    </w:p>
    <w:p w14:paraId="2067FF74" w14:textId="5F924910" w:rsidR="004952BE" w:rsidRDefault="00AD06DF" w:rsidP="00AD06DF">
      <w:pPr>
        <w:pStyle w:val="Caption"/>
      </w:pPr>
      <w:r>
        <w:t xml:space="preserve">Rysunek </w:t>
      </w:r>
      <w:fldSimple w:instr=" SEQ Rysunek \* ARABIC ">
        <w:r w:rsidR="00BF503C">
          <w:rPr>
            <w:noProof/>
          </w:rPr>
          <w:t>2</w:t>
        </w:r>
      </w:fldSimple>
      <w:r>
        <w:t xml:space="preserve"> Wykres rozrzutu między kombinacjami wybranych zmiennych</w:t>
      </w:r>
    </w:p>
    <w:p w14:paraId="694AB257" w14:textId="5D3524C3" w:rsidR="004952BE" w:rsidRDefault="002E1973" w:rsidP="0025662A">
      <w:pPr>
        <w:pStyle w:val="Heading2"/>
      </w:pPr>
      <w:r>
        <w:lastRenderedPageBreak/>
        <w:t>Interpretacja</w:t>
      </w:r>
      <w:r w:rsidR="00C42E32">
        <w:t xml:space="preserve"> korelacji i ładunków </w:t>
      </w:r>
      <w:r>
        <w:t>kanonicznych</w:t>
      </w:r>
    </w:p>
    <w:p w14:paraId="5E119CF0" w14:textId="06E8EADA" w:rsidR="00D9382D" w:rsidRDefault="0025662A">
      <w:r w:rsidRPr="0025662A">
        <w:t>Po zapoznaniu się ze specyfiką analizowanych cech, zrealizowano algorytm analizy korelacji kanonicznej. Procedura ta polega na wyznaczeniu zmiennych kanonicznych poprzez takie dobranie wag dla poszczególnych cech, aby uzyskana korelacja między podsystemami była jak najwyższa. Na Rysunku 3 przedstawiono rezultaty tego procesu w postaci ładunków kanonicznych, które obrazują siłę powiązań między oryginalnymi zmiennymi a ich własnymi wymiarami, jak również ich korelacje ze zmienną kanoniczną przeciwnego podsystemu.</w:t>
      </w:r>
    </w:p>
    <w:p w14:paraId="1BAC6C9C" w14:textId="77777777" w:rsidR="00BF503C" w:rsidRDefault="00AD06DF" w:rsidP="00BF503C">
      <w:pPr>
        <w:keepNext/>
      </w:pPr>
      <w:r w:rsidRPr="00AD06DF">
        <w:rPr>
          <w:noProof/>
        </w:rPr>
        <w:drawing>
          <wp:inline distT="0" distB="0" distL="0" distR="0" wp14:anchorId="17FAE8F2" wp14:editId="615C4871">
            <wp:extent cx="5760720" cy="4180205"/>
            <wp:effectExtent l="0" t="0" r="0" b="0"/>
            <wp:docPr id="96918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87347" name=""/>
                    <pic:cNvPicPr/>
                  </pic:nvPicPr>
                  <pic:blipFill>
                    <a:blip r:embed="rId9"/>
                    <a:stretch>
                      <a:fillRect/>
                    </a:stretch>
                  </pic:blipFill>
                  <pic:spPr>
                    <a:xfrm>
                      <a:off x="0" y="0"/>
                      <a:ext cx="5760720" cy="4180205"/>
                    </a:xfrm>
                    <a:prstGeom prst="rect">
                      <a:avLst/>
                    </a:prstGeom>
                  </pic:spPr>
                </pic:pic>
              </a:graphicData>
            </a:graphic>
          </wp:inline>
        </w:drawing>
      </w:r>
    </w:p>
    <w:p w14:paraId="40CF6F2B" w14:textId="18324AE2" w:rsidR="00BF503C" w:rsidRDefault="00BF503C" w:rsidP="00BF503C">
      <w:pPr>
        <w:pStyle w:val="Caption"/>
      </w:pPr>
      <w:r>
        <w:t xml:space="preserve">Rysunek </w:t>
      </w:r>
      <w:fldSimple w:instr=" SEQ Rysunek \* ARABIC ">
        <w:r>
          <w:rPr>
            <w:noProof/>
          </w:rPr>
          <w:t>3</w:t>
        </w:r>
      </w:fldSimple>
      <w:r>
        <w:t xml:space="preserve"> Graf przedstawiający korelację między cechami, a zmiennymi kanonicznymi</w:t>
      </w:r>
    </w:p>
    <w:p w14:paraId="02F90C9F" w14:textId="6E731D10" w:rsidR="0025662A" w:rsidRDefault="002E1973">
      <w:r>
        <w:br/>
      </w:r>
      <w:r w:rsidR="0025662A" w:rsidRPr="0025662A">
        <w:t xml:space="preserve">W wyniku przeprowadzonej procedury statystycznej uzyskano ekstremalnie wysoki współczynnik pierwszej korelacji kanonicznej, który wyniósł </w:t>
      </w:r>
      <m:oMath>
        <m:r>
          <w:rPr>
            <w:rFonts w:ascii="Cambria Math" w:hAnsi="Cambria Math"/>
          </w:rPr>
          <m:t>0.973</m:t>
        </m:r>
      </m:oMath>
      <w:r w:rsidR="0025662A" w:rsidRPr="0025662A">
        <w:t>. Tak wysoka wartość, bliska jedności, świadczy o niemal idealnej, dodatniej współzależności liniowej między sferą gospodarczą a inwestycyjną w badanych województwach.</w:t>
      </w:r>
    </w:p>
    <w:p w14:paraId="4C032EF4" w14:textId="3C565B0C" w:rsidR="003E0D28" w:rsidRDefault="0025662A">
      <w:r w:rsidRPr="0025662A">
        <w:t>W praktyce oznacza to, że zmiany w poziomie rozwoju gospodarczego regionów są nierozerwalnie sprzężone z ich potencjałem inwestycyjnym. Województwa charakteryzujące się silną gospodarką generują wyższe nakłady inwestycyjne</w:t>
      </w:r>
      <w:r w:rsidR="003E0D28">
        <w:t>,</w:t>
      </w:r>
      <w:r w:rsidRPr="0025662A">
        <w:t xml:space="preserve"> zarówno te twarde w przedsiębiorstwach, jak i społeczne, realizowane przez samorządy. </w:t>
      </w:r>
    </w:p>
    <w:p w14:paraId="6B3A25D6" w14:textId="77777777" w:rsidR="003E0D28" w:rsidRDefault="003E0D28"/>
    <w:p w14:paraId="67D4CCD8" w14:textId="516296C9" w:rsidR="003E0D28" w:rsidRDefault="009C0F34">
      <w:r w:rsidRPr="009C0F34">
        <w:lastRenderedPageBreak/>
        <w:t>Analiza wartości ładunków kanonicznych oraz korelacji krzyżowych prowadzi do wniosku, że wybrane do badania zmienne diagnostyczne charakteryzują się bardzo wysoką stabilnością merytoryczną. W niemal każdym analizowanym przypadku poszczególne cechy wykazują potężne powiązanie zarówno ze swoim własnym teoretycznym wymiarem, jak i z komponentem przeciwnego podsystemu.</w:t>
      </w:r>
    </w:p>
    <w:p w14:paraId="779C7B1A" w14:textId="178AB785" w:rsidR="009C0F34" w:rsidRDefault="009C0F34">
      <w:r w:rsidRPr="009C0F34">
        <w:t>Wyjątkiem od tej reguły są wydatki na kulturę (</w:t>
      </w:r>
      <m:oMath>
        <m:r>
          <w:rPr>
            <w:rFonts w:ascii="Cambria Math" w:hAnsi="Cambria Math"/>
          </w:rPr>
          <m:t>x29</m:t>
        </m:r>
      </m:oMath>
      <w:r w:rsidRPr="009C0F34">
        <w:t>). Cecha ta – zarówno w relacji z macierzystym wymiarem inwestycyjnym (</w:t>
      </w:r>
      <m:oMath>
        <m:r>
          <w:rPr>
            <w:rFonts w:ascii="Cambria Math" w:hAnsi="Cambria Math"/>
          </w:rPr>
          <m:t>0.509</m:t>
        </m:r>
      </m:oMath>
      <w:r w:rsidRPr="009C0F34">
        <w:t>), jak i w korelacji krzyżowej z wymiarem gospodarczym (</w:t>
      </w:r>
      <m:oMath>
        <m:r>
          <w:rPr>
            <w:rFonts w:ascii="Cambria Math" w:hAnsi="Cambria Math"/>
          </w:rPr>
          <m:t>0.496</m:t>
        </m:r>
      </m:oMath>
      <w:r w:rsidRPr="009C0F34">
        <w:t>)</w:t>
      </w:r>
      <w:r>
        <w:t>,</w:t>
      </w:r>
      <w:r w:rsidRPr="009C0F34">
        <w:t xml:space="preserve"> osiąga wyraźnie niższe wskaźniki korelacji, oscylujące wokół granicy </w:t>
      </w:r>
      <m:oMath>
        <m:r>
          <w:rPr>
            <w:rFonts w:ascii="Cambria Math" w:hAnsi="Cambria Math"/>
          </w:rPr>
          <m:t>0.50</m:t>
        </m:r>
      </m:oMath>
      <w:r w:rsidRPr="009C0F34">
        <w:t xml:space="preserve">. Choć wartość ta wciąż mieści się w przedziale zależności umiarkowanych i potwierdza udział kultury w ogólnym rozwoju regionu, to wyraźny dystans wobec pozostałych zmiennych niesie ważną informację strukturalną.  </w:t>
      </w:r>
      <w:r>
        <w:t>F</w:t>
      </w:r>
      <w:r w:rsidRPr="009C0F34">
        <w:t>inansowanie kultury w polskich województwach wykazuje pewną autonomię</w:t>
      </w:r>
      <w:r>
        <w:t xml:space="preserve">, </w:t>
      </w:r>
      <w:r w:rsidRPr="009C0F34">
        <w:t>nie jest ono aż tak bezpośrednio i sztywno zdeterminowane ogólną kondycją gospodarczą czy pozostałym potencjałem inwestycyjnym samorządów, jak ma to miejsce w przypadku twardej infrastruktury czy szkolnictwa.</w:t>
      </w:r>
    </w:p>
    <w:p w14:paraId="6E5D6AEE" w14:textId="21A1EFF8" w:rsidR="00C42E32" w:rsidRDefault="00604F99" w:rsidP="00604F99">
      <w:pPr>
        <w:pStyle w:val="Heading2"/>
      </w:pPr>
      <w:r>
        <w:t>Testy istotności statystycznej</w:t>
      </w:r>
    </w:p>
    <w:p w14:paraId="1901B073" w14:textId="733AA149" w:rsidR="00923856" w:rsidRDefault="00604F99" w:rsidP="00604F99">
      <w:r w:rsidRPr="00604F99">
        <w:t xml:space="preserve">Oprócz merytorycznej interpretacji ładunków i współczynników korelacji kanonicznej, kluczowym etapem analizy było zweryfikowanie, czy uzyskane wyniki niosą ze sobą istotną informację statystyczną, czy są jedynie dziełem losowego zbiegu okoliczności. W tym celu przeprowadzono wielowymiarowe testy istotności ogólnej: test </w:t>
      </w:r>
      <w:proofErr w:type="spellStart"/>
      <w:proofErr w:type="gramStart"/>
      <w:r w:rsidRPr="00604F99">
        <w:t>Wilksa</w:t>
      </w:r>
      <w:proofErr w:type="spellEnd"/>
      <w:r w:rsidRPr="00604F99">
        <w:t xml:space="preserve"> ,</w:t>
      </w:r>
      <w:proofErr w:type="gramEnd"/>
      <w:r w:rsidRPr="00604F99">
        <w:t xml:space="preserve"> </w:t>
      </w:r>
      <w:proofErr w:type="spellStart"/>
      <w:proofErr w:type="gramStart"/>
      <w:r w:rsidRPr="00604F99">
        <w:t>Pillai’a</w:t>
      </w:r>
      <w:proofErr w:type="spellEnd"/>
      <w:r w:rsidRPr="00604F99">
        <w:t xml:space="preserve"> ,</w:t>
      </w:r>
      <w:proofErr w:type="gramEnd"/>
      <w:r w:rsidRPr="00604F99">
        <w:t xml:space="preserve"> </w:t>
      </w:r>
      <w:proofErr w:type="spellStart"/>
      <w:r w:rsidRPr="00604F99">
        <w:t>Hotellinga</w:t>
      </w:r>
      <w:proofErr w:type="spellEnd"/>
      <w:r w:rsidRPr="00604F99">
        <w:t xml:space="preserve"> oraz najszerszego pierwiastka Roya.</w:t>
      </w:r>
      <w:r w:rsidR="00923856">
        <w:t xml:space="preserve"> </w:t>
      </w:r>
      <w:r w:rsidR="002C7196" w:rsidRPr="002C7196">
        <w:t>W Tabeli 3 przedstawiono wyniki wiel</w:t>
      </w:r>
      <w:r w:rsidR="002C7196">
        <w:t>o</w:t>
      </w:r>
      <w:r w:rsidR="002C7196" w:rsidRPr="002C7196">
        <w:t>wymiarowych testów istotności dla całego układu zmiennych kanonicznych</w:t>
      </w:r>
    </w:p>
    <w:p w14:paraId="33E02671" w14:textId="291D7BCC" w:rsidR="00923856" w:rsidRDefault="00923856" w:rsidP="00923856">
      <w:pPr>
        <w:pStyle w:val="Caption"/>
        <w:keepNext/>
      </w:pPr>
      <w:r>
        <w:t xml:space="preserve">Tabela </w:t>
      </w:r>
      <w:fldSimple w:instr=" SEQ Tabela \* ARABIC ">
        <w:r w:rsidR="00CF0A0B">
          <w:rPr>
            <w:noProof/>
          </w:rPr>
          <w:t>3</w:t>
        </w:r>
      </w:fldSimple>
      <w:r>
        <w:t xml:space="preserve"> Wyniki testów statystycznych</w:t>
      </w:r>
    </w:p>
    <w:tbl>
      <w:tblPr>
        <w:tblStyle w:val="TableGrid"/>
        <w:tblW w:w="0" w:type="auto"/>
        <w:jc w:val="center"/>
        <w:tblLook w:val="04A0" w:firstRow="1" w:lastRow="0" w:firstColumn="1" w:lastColumn="0" w:noHBand="0" w:noVBand="1"/>
      </w:tblPr>
      <w:tblGrid>
        <w:gridCol w:w="2265"/>
        <w:gridCol w:w="2265"/>
        <w:gridCol w:w="2266"/>
        <w:gridCol w:w="2266"/>
      </w:tblGrid>
      <w:tr w:rsidR="00923856" w14:paraId="67EBAB60" w14:textId="77777777" w:rsidTr="00923856">
        <w:trPr>
          <w:jc w:val="center"/>
        </w:trPr>
        <w:tc>
          <w:tcPr>
            <w:tcW w:w="2265" w:type="dxa"/>
          </w:tcPr>
          <w:p w14:paraId="61CA0189" w14:textId="2EFBEB0D" w:rsidR="00923856" w:rsidRPr="00923856" w:rsidRDefault="00923856" w:rsidP="00923856">
            <w:pPr>
              <w:jc w:val="center"/>
              <w:rPr>
                <w:b/>
                <w:bCs/>
              </w:rPr>
            </w:pPr>
            <w:proofErr w:type="spellStart"/>
            <w:r w:rsidRPr="00923856">
              <w:rPr>
                <w:b/>
                <w:bCs/>
              </w:rPr>
              <w:t>Wilks</w:t>
            </w:r>
            <w:proofErr w:type="spellEnd"/>
            <w:r w:rsidRPr="00923856">
              <w:rPr>
                <w:b/>
                <w:bCs/>
              </w:rPr>
              <w:t xml:space="preserve"> Lambda</w:t>
            </w:r>
          </w:p>
        </w:tc>
        <w:tc>
          <w:tcPr>
            <w:tcW w:w="2265" w:type="dxa"/>
          </w:tcPr>
          <w:p w14:paraId="1DA9CCEC" w14:textId="7F602196" w:rsidR="00923856" w:rsidRPr="00923856" w:rsidRDefault="00923856" w:rsidP="00923856">
            <w:pPr>
              <w:jc w:val="center"/>
              <w:rPr>
                <w:b/>
                <w:bCs/>
              </w:rPr>
            </w:pPr>
            <w:proofErr w:type="spellStart"/>
            <w:r w:rsidRPr="00923856">
              <w:rPr>
                <w:b/>
                <w:bCs/>
              </w:rPr>
              <w:t>Hotelling-Lawley</w:t>
            </w:r>
            <w:proofErr w:type="spellEnd"/>
            <w:r w:rsidRPr="00923856">
              <w:rPr>
                <w:b/>
                <w:bCs/>
              </w:rPr>
              <w:t xml:space="preserve"> </w:t>
            </w:r>
            <w:proofErr w:type="spellStart"/>
            <w:r w:rsidRPr="00923856">
              <w:rPr>
                <w:b/>
                <w:bCs/>
              </w:rPr>
              <w:t>Trace</w:t>
            </w:r>
            <w:proofErr w:type="spellEnd"/>
          </w:p>
        </w:tc>
        <w:tc>
          <w:tcPr>
            <w:tcW w:w="2266" w:type="dxa"/>
          </w:tcPr>
          <w:p w14:paraId="16273FA5" w14:textId="210DE039" w:rsidR="00923856" w:rsidRPr="00923856" w:rsidRDefault="00923856" w:rsidP="00923856">
            <w:pPr>
              <w:jc w:val="center"/>
              <w:rPr>
                <w:b/>
                <w:bCs/>
              </w:rPr>
            </w:pPr>
            <w:proofErr w:type="spellStart"/>
            <w:r w:rsidRPr="00923856">
              <w:rPr>
                <w:b/>
                <w:bCs/>
              </w:rPr>
              <w:t>Pillai-Bartlett</w:t>
            </w:r>
            <w:proofErr w:type="spellEnd"/>
            <w:r w:rsidRPr="00923856">
              <w:rPr>
                <w:b/>
                <w:bCs/>
              </w:rPr>
              <w:t xml:space="preserve"> </w:t>
            </w:r>
            <w:proofErr w:type="spellStart"/>
            <w:r w:rsidRPr="00923856">
              <w:rPr>
                <w:b/>
                <w:bCs/>
              </w:rPr>
              <w:t>Trace</w:t>
            </w:r>
            <w:proofErr w:type="spellEnd"/>
          </w:p>
        </w:tc>
        <w:tc>
          <w:tcPr>
            <w:tcW w:w="2266" w:type="dxa"/>
          </w:tcPr>
          <w:p w14:paraId="7AC16279" w14:textId="129DA9F8" w:rsidR="00923856" w:rsidRPr="00923856" w:rsidRDefault="00923856" w:rsidP="00923856">
            <w:pPr>
              <w:jc w:val="center"/>
              <w:rPr>
                <w:b/>
                <w:bCs/>
              </w:rPr>
            </w:pPr>
            <w:proofErr w:type="spellStart"/>
            <w:r w:rsidRPr="00923856">
              <w:rPr>
                <w:b/>
                <w:bCs/>
              </w:rPr>
              <w:t>Roy's</w:t>
            </w:r>
            <w:proofErr w:type="spellEnd"/>
            <w:r w:rsidRPr="00923856">
              <w:rPr>
                <w:b/>
                <w:bCs/>
              </w:rPr>
              <w:t xml:space="preserve"> </w:t>
            </w:r>
            <w:proofErr w:type="spellStart"/>
            <w:r w:rsidRPr="00923856">
              <w:rPr>
                <w:b/>
                <w:bCs/>
              </w:rPr>
              <w:t>Largest</w:t>
            </w:r>
            <w:proofErr w:type="spellEnd"/>
            <w:r w:rsidRPr="00923856">
              <w:rPr>
                <w:b/>
                <w:bCs/>
              </w:rPr>
              <w:t xml:space="preserve"> Root</w:t>
            </w:r>
          </w:p>
        </w:tc>
      </w:tr>
      <w:tr w:rsidR="00923856" w14:paraId="2ACB8F4A" w14:textId="77777777" w:rsidTr="00923856">
        <w:trPr>
          <w:jc w:val="center"/>
        </w:trPr>
        <w:tc>
          <w:tcPr>
            <w:tcW w:w="2265" w:type="dxa"/>
          </w:tcPr>
          <w:p w14:paraId="571A5F9C" w14:textId="3054515D" w:rsidR="00923856" w:rsidRDefault="00923856" w:rsidP="00923856">
            <w:pPr>
              <w:jc w:val="center"/>
            </w:pPr>
            <w:r>
              <w:t>0.0163</w:t>
            </w:r>
          </w:p>
        </w:tc>
        <w:tc>
          <w:tcPr>
            <w:tcW w:w="2265" w:type="dxa"/>
          </w:tcPr>
          <w:p w14:paraId="29D2C66E" w14:textId="2AA569F7" w:rsidR="00923856" w:rsidRDefault="00923856" w:rsidP="00923856">
            <w:pPr>
              <w:jc w:val="center"/>
            </w:pPr>
            <w:r>
              <w:t>0.0002</w:t>
            </w:r>
          </w:p>
        </w:tc>
        <w:tc>
          <w:tcPr>
            <w:tcW w:w="2266" w:type="dxa"/>
          </w:tcPr>
          <w:p w14:paraId="16132CE0" w14:textId="4B59197A" w:rsidR="00923856" w:rsidRDefault="00923856" w:rsidP="00923856">
            <w:pPr>
              <w:jc w:val="center"/>
            </w:pPr>
            <w:r>
              <w:t>0.2176</w:t>
            </w:r>
          </w:p>
        </w:tc>
        <w:tc>
          <w:tcPr>
            <w:tcW w:w="2266" w:type="dxa"/>
          </w:tcPr>
          <w:p w14:paraId="78AD48B7" w14:textId="34E2048C" w:rsidR="00923856" w:rsidRDefault="00923856" w:rsidP="00923856">
            <w:pPr>
              <w:jc w:val="center"/>
            </w:pPr>
            <w:r>
              <w:t>0.0000</w:t>
            </w:r>
          </w:p>
        </w:tc>
      </w:tr>
    </w:tbl>
    <w:p w14:paraId="65299B0B" w14:textId="77777777" w:rsidR="00923856" w:rsidRDefault="00923856" w:rsidP="00604F99"/>
    <w:p w14:paraId="79D2CB8A" w14:textId="7F43A4E2" w:rsidR="005C763F" w:rsidRDefault="001C6F80" w:rsidP="00604F99">
      <w:r w:rsidRPr="001C6F80">
        <w:t>Prezentowane w Tabeli 3 wyniki testów jednoznacznie potwierdzają obecność silnych, nieprzypadkowych zależności pomiędzy analizowanymi podsystemami danych. Wartości prawdopodobieństwa testowego (</w:t>
      </w:r>
      <m:oMath>
        <m:r>
          <w:rPr>
            <w:rFonts w:ascii="Cambria Math" w:hAnsi="Cambria Math"/>
          </w:rPr>
          <m:t>p</m:t>
        </m:r>
      </m:oMath>
      <w:r w:rsidRPr="001C6F80">
        <w:t>-value) dla statystyk Wilksa (</w:t>
      </w:r>
      <m:oMath>
        <m:r>
          <w:rPr>
            <w:rFonts w:ascii="Cambria Math" w:hAnsi="Cambria Math"/>
          </w:rPr>
          <m:t>0,0163</m:t>
        </m:r>
      </m:oMath>
      <w:r w:rsidRPr="001C6F80">
        <w:t>), Hotellinga-Lawleya (</w:t>
      </w:r>
      <m:oMath>
        <m:r>
          <w:rPr>
            <w:rFonts w:ascii="Cambria Math" w:hAnsi="Cambria Math"/>
          </w:rPr>
          <m:t>0,0002</m:t>
        </m:r>
      </m:oMath>
      <w:r w:rsidRPr="001C6F80">
        <w:t>) oraz Roya (</w:t>
      </w:r>
      <m:oMath>
        <m:r>
          <w:rPr>
            <w:rFonts w:ascii="Cambria Math" w:hAnsi="Cambria Math"/>
          </w:rPr>
          <m:t>0,0000</m:t>
        </m:r>
      </m:oMath>
      <w:r w:rsidRPr="001C6F80">
        <w:t xml:space="preserve">) ukształtowały się poniżej rygorystycznego progu istotności </w:t>
      </w:r>
      <m:oMath>
        <m:r>
          <w:rPr>
            <w:rFonts w:ascii="Cambria Math" w:hAnsi="Cambria Math"/>
          </w:rPr>
          <m:t>α=0,05</m:t>
        </m:r>
      </m:oMath>
      <w:r w:rsidRPr="001C6F80">
        <w:t>. Pozwala to na bezpieczne odrzucenie hipotezy zerowej o braku powiązań i przyjęcie, że wyizolowane zmienne kanoniczne niosą ze sobą kluczową informację statystyczną. Odmienny rezultat testu Pillaia (</w:t>
      </w:r>
      <m:oMath>
        <m:r>
          <w:rPr>
            <w:rFonts w:ascii="Cambria Math" w:hAnsi="Cambria Math"/>
          </w:rPr>
          <m:t>p=0,2176</m:t>
        </m:r>
      </m:oMath>
      <w:r w:rsidRPr="001C6F80">
        <w:t>), będącego najbardziej konserwatywną z procedur, nie podważa ogólnej wiarygodności modelu, ponieważ dominująca większość statystyk jednoznacznie sankcjonuje poprawność oraz wysoką stabilność zbudowanego układu relacji.</w:t>
      </w:r>
    </w:p>
    <w:p w14:paraId="4468D4E1" w14:textId="648E4FE5" w:rsidR="009B7656" w:rsidRDefault="009B7656" w:rsidP="009B7656">
      <w:pPr>
        <w:pStyle w:val="Heading2"/>
      </w:pPr>
      <w:r>
        <w:lastRenderedPageBreak/>
        <w:t>Analiza redundancji</w:t>
      </w:r>
    </w:p>
    <w:p w14:paraId="4118370C" w14:textId="337068FF" w:rsidR="00CF0A0B" w:rsidRDefault="00E71092" w:rsidP="00604F99">
      <w:r w:rsidRPr="00E71092">
        <w:t>W celu pełniejszej oceny relacji zachodzących między badanym potencjałem gospodarczym a sferą inwestycyjną, analizę korelacji kanonicznych pogłębiono o badanie wskaźników redundancji. Pozwoliło to na jednoznaczne zweryfikowanie, w jakim stopniu nowo wygenerowane wymiary teoretyczne posiadają realną zdolność predykcyjną i potrafią wyjaśnić zmienność surowych wskaźników wejściowych z przeciwstawnego podsystemu danych.</w:t>
      </w:r>
    </w:p>
    <w:p w14:paraId="3A87BC94" w14:textId="72B87A74" w:rsidR="00CF0A0B" w:rsidRDefault="00CF0A0B" w:rsidP="00CF0A0B">
      <w:pPr>
        <w:pStyle w:val="Caption"/>
        <w:keepNext/>
      </w:pPr>
      <w:r>
        <w:t xml:space="preserve">Tabela </w:t>
      </w:r>
      <w:fldSimple w:instr=" SEQ Tabela \* ARABIC ">
        <w:r>
          <w:rPr>
            <w:noProof/>
          </w:rPr>
          <w:t>4</w:t>
        </w:r>
      </w:fldSimple>
      <w:r>
        <w:t xml:space="preserve"> Współczynniki redundancji</w:t>
      </w:r>
    </w:p>
    <w:tbl>
      <w:tblPr>
        <w:tblStyle w:val="TableGrid"/>
        <w:tblW w:w="0" w:type="auto"/>
        <w:jc w:val="center"/>
        <w:tblLook w:val="04A0" w:firstRow="1" w:lastRow="0" w:firstColumn="1" w:lastColumn="0" w:noHBand="0" w:noVBand="1"/>
      </w:tblPr>
      <w:tblGrid>
        <w:gridCol w:w="4531"/>
        <w:gridCol w:w="4531"/>
      </w:tblGrid>
      <w:tr w:rsidR="00D62869" w14:paraId="132D62C3" w14:textId="77777777" w:rsidTr="008E08F9">
        <w:trPr>
          <w:jc w:val="center"/>
        </w:trPr>
        <w:tc>
          <w:tcPr>
            <w:tcW w:w="4531" w:type="dxa"/>
          </w:tcPr>
          <w:p w14:paraId="08AB6EED" w14:textId="6F2BE02C" w:rsidR="00D62869" w:rsidRPr="008E08F9" w:rsidRDefault="008E08F9" w:rsidP="008E08F9">
            <w:pPr>
              <w:jc w:val="center"/>
              <w:rPr>
                <w:b/>
                <w:bCs/>
              </w:rPr>
            </w:pPr>
            <w:r w:rsidRPr="008E08F9">
              <w:rPr>
                <w:b/>
                <w:bCs/>
              </w:rPr>
              <w:t xml:space="preserve">Współczynnik redundancji </w:t>
            </w:r>
            <w:r w:rsidR="00136D84">
              <w:rPr>
                <w:b/>
                <w:bCs/>
              </w:rPr>
              <w:t>(Xcan1)</w:t>
            </w:r>
          </w:p>
        </w:tc>
        <w:tc>
          <w:tcPr>
            <w:tcW w:w="4531" w:type="dxa"/>
          </w:tcPr>
          <w:p w14:paraId="33CB23E9" w14:textId="1A6152E6" w:rsidR="00D62869" w:rsidRPr="008E08F9" w:rsidRDefault="008E08F9" w:rsidP="008E08F9">
            <w:pPr>
              <w:jc w:val="center"/>
              <w:rPr>
                <w:b/>
                <w:bCs/>
              </w:rPr>
            </w:pPr>
            <w:r w:rsidRPr="008E08F9">
              <w:rPr>
                <w:b/>
                <w:bCs/>
              </w:rPr>
              <w:t xml:space="preserve">Współczynnik redundancji </w:t>
            </w:r>
            <w:r w:rsidR="00136D84">
              <w:rPr>
                <w:b/>
                <w:bCs/>
              </w:rPr>
              <w:t>(Ycan1)</w:t>
            </w:r>
          </w:p>
        </w:tc>
      </w:tr>
      <w:tr w:rsidR="00D62869" w14:paraId="155E221D" w14:textId="77777777" w:rsidTr="008E08F9">
        <w:trPr>
          <w:jc w:val="center"/>
        </w:trPr>
        <w:tc>
          <w:tcPr>
            <w:tcW w:w="4531" w:type="dxa"/>
          </w:tcPr>
          <w:p w14:paraId="4F328065" w14:textId="12CF1366" w:rsidR="00D62869" w:rsidRDefault="00D62869" w:rsidP="008E08F9">
            <w:pPr>
              <w:jc w:val="center"/>
            </w:pPr>
            <w:r>
              <w:t>0.7877</w:t>
            </w:r>
          </w:p>
        </w:tc>
        <w:tc>
          <w:tcPr>
            <w:tcW w:w="4531" w:type="dxa"/>
          </w:tcPr>
          <w:p w14:paraId="5F748D50" w14:textId="7F7C07F3" w:rsidR="00D62869" w:rsidRDefault="00D62869" w:rsidP="008E08F9">
            <w:pPr>
              <w:jc w:val="center"/>
            </w:pPr>
            <w:r>
              <w:t>0.6196</w:t>
            </w:r>
          </w:p>
        </w:tc>
      </w:tr>
    </w:tbl>
    <w:p w14:paraId="07694544" w14:textId="77777777" w:rsidR="001C6F80" w:rsidRDefault="001C6F80" w:rsidP="00604F99"/>
    <w:p w14:paraId="5151E862" w14:textId="7A78CD4F" w:rsidR="00ED5DA3" w:rsidRPr="00604F99" w:rsidRDefault="00D84A7F" w:rsidP="00604F99">
      <w:r w:rsidRPr="00D84A7F">
        <w:t xml:space="preserve">Uzyskane współczynniki redundancji kanonicznej dla pierwszego wymiaru stanowią silne empiryczne potwierdzenie głębokich, współzależnych relacji pomiędzy badanymi obszarami. Wskaźnik Xcan1 na poziomie </w:t>
      </w:r>
      <m:oMath>
        <m:r>
          <w:rPr>
            <w:rFonts w:ascii="Cambria Math" w:hAnsi="Cambria Math"/>
          </w:rPr>
          <m:t>0,7877</m:t>
        </m:r>
      </m:oMath>
      <w:r w:rsidRPr="00D84A7F">
        <w:t xml:space="preserve"> dowodzi, że pierwsza zmienna kanoniczna sfery inwestycyjnej (</w:t>
      </w:r>
      <m:oMath>
        <m:r>
          <w:rPr>
            <w:rFonts w:ascii="Cambria Math" w:hAnsi="Cambria Math"/>
          </w:rPr>
          <m:t>Y</m:t>
        </m:r>
      </m:oMath>
      <w:r w:rsidRPr="00D84A7F">
        <w:t xml:space="preserve">) jest w stanie wyjaśnić aż </w:t>
      </w:r>
      <m:oMath>
        <m:r>
          <w:rPr>
            <w:rFonts w:ascii="Cambria Math" w:hAnsi="Cambria Math"/>
          </w:rPr>
          <m:t>78,77%</m:t>
        </m:r>
      </m:oMath>
      <w:r w:rsidRPr="00D84A7F">
        <w:t xml:space="preserve"> całkowitej wariancji surowych cech gospodarczych (</w:t>
      </w:r>
      <m:oMath>
        <m:r>
          <w:rPr>
            <w:rFonts w:ascii="Cambria Math" w:hAnsi="Cambria Math"/>
          </w:rPr>
          <m:t>x11</m:t>
        </m:r>
      </m:oMath>
      <w:r w:rsidRPr="00D84A7F">
        <w:t>–</w:t>
      </w:r>
      <m:oMath>
        <m:r>
          <w:rPr>
            <w:rFonts w:ascii="Cambria Math" w:hAnsi="Cambria Math"/>
          </w:rPr>
          <m:t>x15</m:t>
        </m:r>
      </m:oMath>
      <w:r w:rsidRPr="00D84A7F">
        <w:t xml:space="preserve">). W relacji zwrotnej, współczynnik Ycan1 równy </w:t>
      </w:r>
      <m:oMath>
        <m:r>
          <w:rPr>
            <w:rFonts w:ascii="Cambria Math" w:hAnsi="Cambria Math"/>
          </w:rPr>
          <m:t>0,6196</m:t>
        </m:r>
      </m:oMath>
      <w:r w:rsidRPr="00D84A7F">
        <w:t xml:space="preserve"> wskazuje, że wyizolowany konstrukt sfery gospodarczej (</w:t>
      </w:r>
      <m:oMath>
        <m:r>
          <w:rPr>
            <w:rFonts w:ascii="Cambria Math" w:hAnsi="Cambria Math"/>
          </w:rPr>
          <m:t>X</m:t>
        </m:r>
      </m:oMath>
      <w:r w:rsidRPr="00D84A7F">
        <w:t xml:space="preserve">) determinuje </w:t>
      </w:r>
      <m:oMath>
        <m:r>
          <w:rPr>
            <w:rFonts w:ascii="Cambria Math" w:hAnsi="Cambria Math"/>
          </w:rPr>
          <m:t>61,96%</m:t>
        </m:r>
      </m:oMath>
      <w:r w:rsidRPr="00D84A7F">
        <w:t xml:space="preserve"> zmienności wskaźników inwestycyjnych (</w:t>
      </w:r>
      <m:oMath>
        <m:r>
          <w:rPr>
            <w:rFonts w:ascii="Cambria Math" w:hAnsi="Cambria Math"/>
          </w:rPr>
          <m:t>x27</m:t>
        </m:r>
      </m:oMath>
      <w:r w:rsidRPr="00D84A7F">
        <w:t>–</w:t>
      </w:r>
      <m:oMath>
        <m:r>
          <w:rPr>
            <w:rFonts w:ascii="Cambria Math" w:hAnsi="Cambria Math"/>
          </w:rPr>
          <m:t>x30</m:t>
        </m:r>
      </m:oMath>
      <w:proofErr w:type="gramStart"/>
      <w:r w:rsidRPr="00D84A7F">
        <w:t>).Tak</w:t>
      </w:r>
      <w:proofErr w:type="gramEnd"/>
      <w:r w:rsidRPr="00D84A7F">
        <w:t xml:space="preserve"> wysoka dwukierunkowa zdolność predykcyjna modelu dostarcza twardych dowodów na istnienie silnego sprzężenia zwrotnego pomiędzy potencjałem ekonomicznym regionów a ich aktywnością inwestycyjną. W kontekście analizy dualizmu struktur, synchroniczne reagowanie obu grup wskaźników oraz wysoki stopień transferu informacji między nimi jednoznacznie potwierdzają teoretyczne założenia o nierozerwalnej, systemowej zależności obu podsystemów w przekroju regionalnym.</w:t>
      </w:r>
    </w:p>
    <w:sectPr w:rsidR="00ED5DA3" w:rsidRPr="00604F9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C8DDB" w14:textId="77777777" w:rsidR="00BF22A4" w:rsidRDefault="00BF22A4" w:rsidP="00D9382D">
      <w:pPr>
        <w:spacing w:after="0" w:line="240" w:lineRule="auto"/>
      </w:pPr>
      <w:r>
        <w:separator/>
      </w:r>
    </w:p>
  </w:endnote>
  <w:endnote w:type="continuationSeparator" w:id="0">
    <w:p w14:paraId="0B07C636" w14:textId="77777777" w:rsidR="00BF22A4" w:rsidRDefault="00BF22A4" w:rsidP="00D938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0185655"/>
      <w:docPartObj>
        <w:docPartGallery w:val="Page Numbers (Bottom of Page)"/>
        <w:docPartUnique/>
      </w:docPartObj>
    </w:sdtPr>
    <w:sdtContent>
      <w:p w14:paraId="5E09C6FC" w14:textId="266832A8" w:rsidR="00D9382D" w:rsidRDefault="00D9382D">
        <w:pPr>
          <w:pStyle w:val="Footer"/>
          <w:jc w:val="center"/>
        </w:pPr>
        <w:r>
          <w:fldChar w:fldCharType="begin"/>
        </w:r>
        <w:r>
          <w:instrText>PAGE   \* MERGEFORMAT</w:instrText>
        </w:r>
        <w:r>
          <w:fldChar w:fldCharType="separate"/>
        </w:r>
        <w:r>
          <w:t>2</w:t>
        </w:r>
        <w:r>
          <w:fldChar w:fldCharType="end"/>
        </w:r>
      </w:p>
    </w:sdtContent>
  </w:sdt>
  <w:p w14:paraId="0AEF905C" w14:textId="77777777" w:rsidR="00D9382D" w:rsidRDefault="00D938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FE832" w14:textId="77777777" w:rsidR="00BF22A4" w:rsidRDefault="00BF22A4" w:rsidP="00D9382D">
      <w:pPr>
        <w:spacing w:after="0" w:line="240" w:lineRule="auto"/>
      </w:pPr>
      <w:r>
        <w:separator/>
      </w:r>
    </w:p>
  </w:footnote>
  <w:footnote w:type="continuationSeparator" w:id="0">
    <w:p w14:paraId="6ECC9037" w14:textId="77777777" w:rsidR="00BF22A4" w:rsidRDefault="00BF22A4" w:rsidP="00D938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C692F"/>
    <w:multiLevelType w:val="hybridMultilevel"/>
    <w:tmpl w:val="F9CC886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170171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BF7"/>
    <w:rsid w:val="00005FFB"/>
    <w:rsid w:val="00104439"/>
    <w:rsid w:val="00136D84"/>
    <w:rsid w:val="00162C17"/>
    <w:rsid w:val="001C6F80"/>
    <w:rsid w:val="002204FA"/>
    <w:rsid w:val="0024737D"/>
    <w:rsid w:val="0025662A"/>
    <w:rsid w:val="00271836"/>
    <w:rsid w:val="002C7196"/>
    <w:rsid w:val="002E1973"/>
    <w:rsid w:val="003E0D28"/>
    <w:rsid w:val="004706EF"/>
    <w:rsid w:val="004952BE"/>
    <w:rsid w:val="0058136A"/>
    <w:rsid w:val="005C763F"/>
    <w:rsid w:val="005F7F2B"/>
    <w:rsid w:val="00604F99"/>
    <w:rsid w:val="007437AA"/>
    <w:rsid w:val="007F45D3"/>
    <w:rsid w:val="008142AA"/>
    <w:rsid w:val="008E08F9"/>
    <w:rsid w:val="00923856"/>
    <w:rsid w:val="00961ECD"/>
    <w:rsid w:val="009B7656"/>
    <w:rsid w:val="009C0F34"/>
    <w:rsid w:val="00AD06DF"/>
    <w:rsid w:val="00B732E0"/>
    <w:rsid w:val="00B86FD6"/>
    <w:rsid w:val="00BF22A4"/>
    <w:rsid w:val="00BF503C"/>
    <w:rsid w:val="00C42E32"/>
    <w:rsid w:val="00C77A3E"/>
    <w:rsid w:val="00CF0A0B"/>
    <w:rsid w:val="00D62869"/>
    <w:rsid w:val="00D809EA"/>
    <w:rsid w:val="00D84A7F"/>
    <w:rsid w:val="00D9382D"/>
    <w:rsid w:val="00DE2382"/>
    <w:rsid w:val="00E65779"/>
    <w:rsid w:val="00E71092"/>
    <w:rsid w:val="00E87BF7"/>
    <w:rsid w:val="00EB2850"/>
    <w:rsid w:val="00ED5DA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052E2"/>
  <w15:chartTrackingRefBased/>
  <w15:docId w15:val="{C29EDAE7-9DDE-4AC4-B937-906F08930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B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7B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7B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7B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B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B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B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B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B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B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7B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7B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7B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B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B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B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B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BF7"/>
    <w:rPr>
      <w:rFonts w:eastAsiaTheme="majorEastAsia" w:cstheme="majorBidi"/>
      <w:color w:val="272727" w:themeColor="text1" w:themeTint="D8"/>
    </w:rPr>
  </w:style>
  <w:style w:type="paragraph" w:styleId="Title">
    <w:name w:val="Title"/>
    <w:basedOn w:val="Normal"/>
    <w:next w:val="Normal"/>
    <w:link w:val="TitleChar"/>
    <w:uiPriority w:val="10"/>
    <w:qFormat/>
    <w:rsid w:val="00E87B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B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B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B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BF7"/>
    <w:pPr>
      <w:spacing w:before="160"/>
      <w:jc w:val="center"/>
    </w:pPr>
    <w:rPr>
      <w:i/>
      <w:iCs/>
      <w:color w:val="404040" w:themeColor="text1" w:themeTint="BF"/>
    </w:rPr>
  </w:style>
  <w:style w:type="character" w:customStyle="1" w:styleId="QuoteChar">
    <w:name w:val="Quote Char"/>
    <w:basedOn w:val="DefaultParagraphFont"/>
    <w:link w:val="Quote"/>
    <w:uiPriority w:val="29"/>
    <w:rsid w:val="00E87BF7"/>
    <w:rPr>
      <w:i/>
      <w:iCs/>
      <w:color w:val="404040" w:themeColor="text1" w:themeTint="BF"/>
    </w:rPr>
  </w:style>
  <w:style w:type="paragraph" w:styleId="ListParagraph">
    <w:name w:val="List Paragraph"/>
    <w:basedOn w:val="Normal"/>
    <w:uiPriority w:val="34"/>
    <w:qFormat/>
    <w:rsid w:val="00E87BF7"/>
    <w:pPr>
      <w:ind w:left="720"/>
      <w:contextualSpacing/>
    </w:pPr>
  </w:style>
  <w:style w:type="character" w:styleId="IntenseEmphasis">
    <w:name w:val="Intense Emphasis"/>
    <w:basedOn w:val="DefaultParagraphFont"/>
    <w:uiPriority w:val="21"/>
    <w:qFormat/>
    <w:rsid w:val="00E87BF7"/>
    <w:rPr>
      <w:i/>
      <w:iCs/>
      <w:color w:val="0F4761" w:themeColor="accent1" w:themeShade="BF"/>
    </w:rPr>
  </w:style>
  <w:style w:type="paragraph" w:styleId="IntenseQuote">
    <w:name w:val="Intense Quote"/>
    <w:basedOn w:val="Normal"/>
    <w:next w:val="Normal"/>
    <w:link w:val="IntenseQuoteChar"/>
    <w:uiPriority w:val="30"/>
    <w:qFormat/>
    <w:rsid w:val="00E87B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BF7"/>
    <w:rPr>
      <w:i/>
      <w:iCs/>
      <w:color w:val="0F4761" w:themeColor="accent1" w:themeShade="BF"/>
    </w:rPr>
  </w:style>
  <w:style w:type="character" w:styleId="IntenseReference">
    <w:name w:val="Intense Reference"/>
    <w:basedOn w:val="DefaultParagraphFont"/>
    <w:uiPriority w:val="32"/>
    <w:qFormat/>
    <w:rsid w:val="00E87BF7"/>
    <w:rPr>
      <w:b/>
      <w:bCs/>
      <w:smallCaps/>
      <w:color w:val="0F4761" w:themeColor="accent1" w:themeShade="BF"/>
      <w:spacing w:val="5"/>
    </w:rPr>
  </w:style>
  <w:style w:type="paragraph" w:styleId="Caption">
    <w:name w:val="caption"/>
    <w:basedOn w:val="Normal"/>
    <w:next w:val="Normal"/>
    <w:uiPriority w:val="35"/>
    <w:unhideWhenUsed/>
    <w:qFormat/>
    <w:rsid w:val="004952BE"/>
    <w:pPr>
      <w:spacing w:after="200" w:line="240" w:lineRule="auto"/>
    </w:pPr>
    <w:rPr>
      <w:i/>
      <w:iCs/>
      <w:color w:val="0E2841" w:themeColor="text2"/>
      <w:sz w:val="18"/>
      <w:szCs w:val="18"/>
    </w:rPr>
  </w:style>
  <w:style w:type="paragraph" w:styleId="Header">
    <w:name w:val="header"/>
    <w:basedOn w:val="Normal"/>
    <w:link w:val="HeaderChar"/>
    <w:uiPriority w:val="99"/>
    <w:unhideWhenUsed/>
    <w:rsid w:val="00D9382D"/>
    <w:pPr>
      <w:tabs>
        <w:tab w:val="center" w:pos="4536"/>
        <w:tab w:val="right" w:pos="9072"/>
      </w:tabs>
      <w:spacing w:after="0" w:line="240" w:lineRule="auto"/>
    </w:pPr>
  </w:style>
  <w:style w:type="character" w:customStyle="1" w:styleId="HeaderChar">
    <w:name w:val="Header Char"/>
    <w:basedOn w:val="DefaultParagraphFont"/>
    <w:link w:val="Header"/>
    <w:uiPriority w:val="99"/>
    <w:rsid w:val="00D9382D"/>
  </w:style>
  <w:style w:type="paragraph" w:styleId="Footer">
    <w:name w:val="footer"/>
    <w:basedOn w:val="Normal"/>
    <w:link w:val="FooterChar"/>
    <w:uiPriority w:val="99"/>
    <w:unhideWhenUsed/>
    <w:rsid w:val="00D9382D"/>
    <w:pPr>
      <w:tabs>
        <w:tab w:val="center" w:pos="4536"/>
        <w:tab w:val="right" w:pos="9072"/>
      </w:tabs>
      <w:spacing w:after="0" w:line="240" w:lineRule="auto"/>
    </w:pPr>
  </w:style>
  <w:style w:type="character" w:customStyle="1" w:styleId="FooterChar">
    <w:name w:val="Footer Char"/>
    <w:basedOn w:val="DefaultParagraphFont"/>
    <w:link w:val="Footer"/>
    <w:uiPriority w:val="99"/>
    <w:rsid w:val="00D9382D"/>
  </w:style>
  <w:style w:type="table" w:styleId="TableGrid">
    <w:name w:val="Table Grid"/>
    <w:basedOn w:val="TableNormal"/>
    <w:uiPriority w:val="39"/>
    <w:rsid w:val="009238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E08F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399</TotalTime>
  <Pages>1</Pages>
  <Words>1473</Words>
  <Characters>8842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Faltynowski</dc:creator>
  <cp:keywords/>
  <dc:description/>
  <cp:lastModifiedBy>Daniel Faltynowski</cp:lastModifiedBy>
  <cp:revision>20</cp:revision>
  <dcterms:created xsi:type="dcterms:W3CDTF">2026-06-08T11:22:00Z</dcterms:created>
  <dcterms:modified xsi:type="dcterms:W3CDTF">2026-06-08T18:07:00Z</dcterms:modified>
</cp:coreProperties>
</file>