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9538" w14:textId="6B89941F" w:rsidR="00EB2850" w:rsidRDefault="00DE6F07" w:rsidP="00554734">
      <w:pPr>
        <w:pStyle w:val="Heading1"/>
      </w:pPr>
      <w:r>
        <w:t>Analiza wstępna</w:t>
      </w:r>
    </w:p>
    <w:p w14:paraId="681BDAC9" w14:textId="6C68C050" w:rsidR="00AF592E" w:rsidRDefault="00AF592E">
      <w:r w:rsidRPr="00AF592E">
        <w:t>Przed uruchomieniem wielowymiarowych algorytmów statystycznych, przeprowadzono wstępną weryfikację i selekcję zmiennych diagnostycznych w celu optymalnego scharakteryzowania specyfiki badanych jednostek terytorialnych. Głównym celem tego etapu było zidentyfikowanie wskaźników, które najsilniej różnicują polskie województwa i pozwalają na empiryczną ocenę zjawiska dualizmu społeczno-gospodarczego (koncepcji podziału na tzw. Polskę A i Polskę B).</w:t>
      </w:r>
    </w:p>
    <w:p w14:paraId="3C00AD2B" w14:textId="77777777" w:rsidR="00AF592E" w:rsidRDefault="00AF592E">
      <w:r w:rsidRPr="00AF592E">
        <w:t>Dane wykorzystane w badaniu zostały pozyskane z Banku Danych Lokalnych Głównego Urzędu Statystycznego (BDL GUS). Pierwotny zbiór obejmował 56 zmiennych stanowiących potencjalne predyktory rozwoju regionalnego w wymiarze demograficznym, gospodarczym, infrastrukturalnym oraz społecznym.</w:t>
      </w:r>
    </w:p>
    <w:p w14:paraId="7F49C01A" w14:textId="336E32F8" w:rsidR="00AF592E" w:rsidRDefault="00AF592E">
      <w:r w:rsidRPr="00AF592E">
        <w:t xml:space="preserve">Kluczowym etapem przygotowania danych było przeprowadzenie relatywizacji zmiennych absolutnych (wielkości bezwzględnych) na wskaźniki względne (wskaźniki natężenia, takie jak liczba obiektów na 1 000 mieszkańców lub na 100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592E">
        <w:t>). Pominięcie tej procedury doprowadziłoby do zniekształcenia wyników analizy przez tzw. efekt skali</w:t>
      </w:r>
      <w:r w:rsidR="005D4016">
        <w:t xml:space="preserve">, </w:t>
      </w:r>
      <w:r w:rsidRPr="00AF592E">
        <w:t>w konsekwencji województwa o największej powierzchni i populacji (np. mazowieckie) byłyby automatycznie klasyfikowane jako najlepiej rozwinięte, natomiast jednostki najmniejsze (np. opolskie lub lubuskie) jako peryferyjne.</w:t>
      </w:r>
    </w:p>
    <w:p w14:paraId="563DC9E8" w14:textId="63B1E202" w:rsidR="00E603DA" w:rsidRDefault="00AF592E" w:rsidP="00E603DA">
      <w:r w:rsidRPr="00AF592E">
        <w:t>Dodatkowo podjęto próbę unifikacji rzędów wielkości analizowanych cech, dążąc do sytuacji, w której wartości empiryczne oscylują w umownym przedziale od 0 do 100.</w:t>
      </w:r>
      <w:r w:rsidR="00E603DA">
        <w:t xml:space="preserve"> </w:t>
      </w:r>
      <w:r w:rsidRPr="00AF592E">
        <w:t>Pełny wykaz pozyskanych zmiennych diagnostycznych zamieszczono w Tabeli 1, natomiast kompletną macierz danych rzeczywistych przedstawiono w Tabeli 2.</w:t>
      </w:r>
      <w:r w:rsidR="00E603DA">
        <w:fldChar w:fldCharType="begin"/>
      </w:r>
      <w:r w:rsidR="00E603DA">
        <w:instrText xml:space="preserve"> LINK </w:instrText>
      </w:r>
      <w:r w:rsidR="00EB1205">
        <w:instrText xml:space="preserve">Excel.Sheet.12 C:\\Users\\dapha\\Desktop\\Repositories\\poland-ab-mda\\data\\dane.xlsx OPIS!R1C1:R57C3 </w:instrText>
      </w:r>
      <w:r w:rsidR="00E603DA">
        <w:instrText xml:space="preserve">\a \f 4 \h  \* MERGEFORMAT </w:instrText>
      </w:r>
      <w:r w:rsidR="00E603DA">
        <w:fldChar w:fldCharType="separate"/>
      </w:r>
    </w:p>
    <w:p w14:paraId="1771D7EB" w14:textId="48616AC5" w:rsidR="00E603DA" w:rsidRDefault="00E603DA" w:rsidP="001A562E">
      <w:pPr>
        <w:pStyle w:val="Caption"/>
        <w:keepNext/>
        <w:jc w:val="center"/>
      </w:pPr>
      <w:r>
        <w:t xml:space="preserve">Tabela </w:t>
      </w:r>
      <w:r w:rsidR="004A756B">
        <w:fldChar w:fldCharType="begin"/>
      </w:r>
      <w:r w:rsidR="004A756B">
        <w:instrText xml:space="preserve"> SEQ Tabela \* ARABIC </w:instrText>
      </w:r>
      <w:r w:rsidR="004A756B">
        <w:fldChar w:fldCharType="separate"/>
      </w:r>
      <w:r w:rsidR="00790FD7">
        <w:rPr>
          <w:noProof/>
        </w:rPr>
        <w:t>1</w:t>
      </w:r>
      <w:r w:rsidR="004A756B">
        <w:rPr>
          <w:noProof/>
        </w:rPr>
        <w:fldChar w:fldCharType="end"/>
      </w:r>
      <w:r>
        <w:t xml:space="preserve"> Lista cech rozważanych w analizie</w:t>
      </w:r>
    </w:p>
    <w:tbl>
      <w:tblPr>
        <w:tblW w:w="876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460"/>
        <w:gridCol w:w="3966"/>
      </w:tblGrid>
      <w:tr w:rsidR="00E603DA" w:rsidRPr="00E603DA" w14:paraId="4DC36935" w14:textId="77777777" w:rsidTr="00E603DA">
        <w:trPr>
          <w:trHeight w:val="312"/>
          <w:jc w:val="center"/>
        </w:trPr>
        <w:tc>
          <w:tcPr>
            <w:tcW w:w="33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C302FCD" w14:textId="55D7E374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GRUPA</w:t>
            </w:r>
          </w:p>
        </w:tc>
        <w:tc>
          <w:tcPr>
            <w:tcW w:w="146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FA68DD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ZMIENNA</w:t>
            </w:r>
          </w:p>
        </w:tc>
        <w:tc>
          <w:tcPr>
            <w:tcW w:w="396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539D1F3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OPIS</w:t>
            </w:r>
          </w:p>
        </w:tc>
      </w:tr>
      <w:tr w:rsidR="00E603DA" w:rsidRPr="00E603DA" w14:paraId="223D78FE" w14:textId="77777777" w:rsidTr="00E603DA">
        <w:trPr>
          <w:trHeight w:val="300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CA7E32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FC150C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264438A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gęstość zaludnienie (os / km2) - 2021 SP</w:t>
            </w:r>
          </w:p>
        </w:tc>
      </w:tr>
      <w:tr w:rsidR="00E603DA" w:rsidRPr="00E603DA" w14:paraId="71366BAD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B576F7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45BA46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5ABF1FD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wskaznik urbanizacji 2021 - spis powszechny - ile osob % mieszka w miastach</w:t>
            </w:r>
          </w:p>
        </w:tc>
      </w:tr>
      <w:tr w:rsidR="00E603DA" w:rsidRPr="00E603DA" w14:paraId="77126EB6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FCDB87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22BA24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7EFE265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emigranci - 2021 sp - odsetek emigrantów w % względem ludnosci wojewodztwa - czasowy pobyt za granica</w:t>
            </w:r>
          </w:p>
        </w:tc>
      </w:tr>
      <w:tr w:rsidR="00E603DA" w:rsidRPr="00E603DA" w14:paraId="640ADAF1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92E2D7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B93C12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0E656CC8" w14:textId="3F13601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LUDNOŚĆ PRZYBYŁA DO MIEJSCOWOŚCI AKTUALNEGO ZAMIESZKANIA W LATACH 2011-2021  Z INNEGO MIEJSCA W KRAJU</w:t>
            </w:r>
          </w:p>
        </w:tc>
      </w:tr>
      <w:tr w:rsidR="00E603DA" w:rsidRPr="00E603DA" w14:paraId="674D6F83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F7E48C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ABB1CC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774D309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Przyrost naturalny - 2024 w % rok do roku</w:t>
            </w:r>
          </w:p>
        </w:tc>
      </w:tr>
      <w:tr w:rsidR="00E603DA" w:rsidRPr="00E603DA" w14:paraId="2203C598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0BBD506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DEMOGRAFIA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0E8184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x06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9BC2E6"/>
            <w:noWrap/>
            <w:vAlign w:val="bottom"/>
            <w:hideMark/>
          </w:tcPr>
          <w:p w14:paraId="42F73D9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saldo migracji stałej w % rok do roku - 2024</w:t>
            </w:r>
          </w:p>
        </w:tc>
      </w:tr>
      <w:tr w:rsidR="00E603DA" w:rsidRPr="00E603DA" w14:paraId="206F7FAA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5C020F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EDUKACJA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BDD89C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x07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6E0B4"/>
            <w:noWrap/>
            <w:vAlign w:val="bottom"/>
            <w:hideMark/>
          </w:tcPr>
          <w:p w14:paraId="2C2B9E9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dzieci w przedszkolach i innych formach wychowania przedszkolnego na 1 tys. dzieci w wieku 3-5 lat 2024</w:t>
            </w:r>
          </w:p>
        </w:tc>
      </w:tr>
      <w:tr w:rsidR="00E603DA" w:rsidRPr="00E603DA" w14:paraId="36B6A6E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08165C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EDUKACJA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F2BBA3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x08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6E0B4"/>
            <w:noWrap/>
            <w:vAlign w:val="bottom"/>
            <w:hideMark/>
          </w:tcPr>
          <w:p w14:paraId="3B93F8A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liczba studentów przypadających na jednego nauczyciela akademickiego - 2024</w:t>
            </w:r>
          </w:p>
        </w:tc>
      </w:tr>
      <w:tr w:rsidR="00E603DA" w:rsidRPr="00E603DA" w14:paraId="38BD55FF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82E11B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EDUKACJA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A6B320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x09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6E0B4"/>
            <w:noWrap/>
            <w:vAlign w:val="bottom"/>
            <w:hideMark/>
          </w:tcPr>
          <w:p w14:paraId="3D6A795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studencki uczelni na 1,000 ludnosci - 2024</w:t>
            </w:r>
          </w:p>
        </w:tc>
      </w:tr>
      <w:tr w:rsidR="00E603DA" w:rsidRPr="00E603DA" w14:paraId="38CF345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298E03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lastRenderedPageBreak/>
              <w:t>EDUKACJA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DDF84B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x10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6E0B4"/>
            <w:noWrap/>
            <w:vAlign w:val="bottom"/>
            <w:hideMark/>
          </w:tcPr>
          <w:p w14:paraId="12F414D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zdawalnsoc egzaminow maturalnych - 2024</w:t>
            </w:r>
          </w:p>
        </w:tc>
      </w:tr>
      <w:tr w:rsidR="00E603DA" w:rsidRPr="00E603DA" w14:paraId="29EB53BD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0180A6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GOSPODARKA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3554FE7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bottom"/>
            <w:hideMark/>
          </w:tcPr>
          <w:p w14:paraId="18B319A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pkb na osobę w 2023 w 1000 zl</w:t>
            </w:r>
          </w:p>
        </w:tc>
      </w:tr>
      <w:tr w:rsidR="00E603DA" w:rsidRPr="00E603DA" w14:paraId="0486B62C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43F8451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GOSPODARKA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2680400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bottom"/>
            <w:hideMark/>
          </w:tcPr>
          <w:p w14:paraId="2124315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podmioty wpisane do rejestru REGON na 1 tys. Ludności – 2024</w:t>
            </w:r>
          </w:p>
        </w:tc>
      </w:tr>
      <w:tr w:rsidR="00E603DA" w:rsidRPr="00E603DA" w14:paraId="0351D5AD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3F07735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GOSPODARKA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1BE1147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bottom"/>
            <w:hideMark/>
          </w:tcPr>
          <w:p w14:paraId="24DB121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dochody budżetów województw na 1 mieszkanca w roku 2024 w dziesiątkach złotych]</w:t>
            </w:r>
          </w:p>
        </w:tc>
      </w:tr>
      <w:tr w:rsidR="00E603DA" w:rsidRPr="00E603DA" w14:paraId="27A1C01B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757EEEB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GOSPODARKA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2199BEE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bottom"/>
            <w:hideMark/>
          </w:tcPr>
          <w:p w14:paraId="223D603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jednostki nowo zarejestrowane w rejestrze REGON w roku 2024 na 10 tys. Ludności</w:t>
            </w:r>
          </w:p>
        </w:tc>
      </w:tr>
      <w:tr w:rsidR="00E603DA" w:rsidRPr="00E603DA" w14:paraId="071CF77A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03538B4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GOSPODARKA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3712D08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bottom"/>
            <w:hideMark/>
          </w:tcPr>
          <w:p w14:paraId="67D590B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Przeciętne miesięczne wynagrodzenia brutto w 2024 w setkach zł</w:t>
            </w:r>
          </w:p>
        </w:tc>
      </w:tr>
      <w:tr w:rsidR="00E603DA" w:rsidRPr="00E603DA" w14:paraId="16425F3F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D4EABA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E1B350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x16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04CF0D6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liczba rowerow publicznych na 100,000 ludnosciu 2024</w:t>
            </w:r>
          </w:p>
        </w:tc>
      </w:tr>
      <w:tr w:rsidR="00E603DA" w:rsidRPr="00E603DA" w14:paraId="1614BD82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B4CAF2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7E85F0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x17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4891A286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drogi dla rowerow na 1,000 km2 2024</w:t>
            </w:r>
          </w:p>
        </w:tc>
      </w:tr>
      <w:tr w:rsidR="00E603DA" w:rsidRPr="00E603DA" w14:paraId="00BDDB0B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B6DB0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5FC605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x18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1E0A006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kilometry drog publiczncyh ogolem na 100 km^2 - 2024</w:t>
            </w:r>
          </w:p>
        </w:tc>
      </w:tr>
      <w:tr w:rsidR="00E603DA" w:rsidRPr="00E603DA" w14:paraId="2FEB5FF0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E88D8E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2F5568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x19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09056B2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kilometry drog publiczncyh o nawierzchni twardej na 100 km^2 - 2024</w:t>
            </w:r>
          </w:p>
        </w:tc>
      </w:tr>
      <w:tr w:rsidR="00E603DA" w:rsidRPr="00E603DA" w14:paraId="54FEA47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3CC49F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F3DC39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x20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7F860F1C" w14:textId="655A3B1A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(przystanki autobusowe (z trolejbusowymi) i tramwajowe, przystanki wspólne dla tramwajów i autobusów) na 100km^2 w  2024</w:t>
            </w:r>
          </w:p>
        </w:tc>
      </w:tr>
      <w:tr w:rsidR="00E603DA" w:rsidRPr="00E603DA" w14:paraId="088529DA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7F8A72C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9322E6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052C1DF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długość linii komunikacji miejskiej na 100,000 mieszkańców 2024 w km</w:t>
            </w:r>
          </w:p>
        </w:tc>
      </w:tr>
      <w:tr w:rsidR="00E603DA" w:rsidRPr="00E603DA" w14:paraId="02D46CE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7A3435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D5C6FAC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6E35038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przewozy pasażerskie na 1 mieszkańca 2024</w:t>
            </w:r>
          </w:p>
        </w:tc>
      </w:tr>
      <w:tr w:rsidR="00E603DA" w:rsidRPr="00E603DA" w14:paraId="5CCFB956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A62389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5213FC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3797FCF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LINIE REGULARNEJ KOMUNIKACJI AUTOBUSOWEJ  w km na 100km^2 w 2024</w:t>
            </w:r>
          </w:p>
        </w:tc>
      </w:tr>
      <w:tr w:rsidR="00E603DA" w:rsidRPr="00E603DA" w14:paraId="0679890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80607E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695BAC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06EE7E8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linie kolejowe ogółem na 1000 km2 w 2024</w:t>
            </w:r>
          </w:p>
        </w:tc>
      </w:tr>
      <w:tr w:rsidR="00E603DA" w:rsidRPr="00E603DA" w14:paraId="3275F4B3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F8A353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4288C3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5298295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samochody osobowe na 100 mieszkancow 2024</w:t>
            </w:r>
          </w:p>
        </w:tc>
      </w:tr>
      <w:tr w:rsidR="00E603DA" w:rsidRPr="00E603DA" w14:paraId="69AD38DB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393C8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8D5295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x26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D966"/>
            <w:noWrap/>
            <w:vAlign w:val="bottom"/>
            <w:hideMark/>
          </w:tcPr>
          <w:p w14:paraId="44A0D8E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wypadki drogowe na 100,000 mieszkancow 2024</w:t>
            </w:r>
          </w:p>
        </w:tc>
      </w:tr>
      <w:tr w:rsidR="00E603DA" w:rsidRPr="00E603DA" w14:paraId="3866865D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356B12D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67BE571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x27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0C1FBB7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nakłady inwestycyjne w przedsiębiorstwach na 1 mieszkańca w 2024 w setkach zł</w:t>
            </w:r>
          </w:p>
        </w:tc>
      </w:tr>
      <w:tr w:rsidR="00E603DA" w:rsidRPr="00E603DA" w14:paraId="316114EF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503D6CFC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5F8AD92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x28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6CB9DD06" w14:textId="519A5219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WYDATKI BUDŻETÓW GMIN I MIAST NA PRAWACH POWIATU na 1 mieszkanca w 2024 w setkach zł</w:t>
            </w:r>
          </w:p>
        </w:tc>
      </w:tr>
      <w:tr w:rsidR="00E603DA" w:rsidRPr="00E603DA" w14:paraId="3AD1D29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746CE21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1029D72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x29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302FF4D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Wydatki budzetów gmin I miast na prawach powiatu na kulturę I ochronę dziedzictwa narodowego na 1 mieszkanca w 2024 w dziesiątkach złotych</w:t>
            </w:r>
          </w:p>
        </w:tc>
      </w:tr>
      <w:tr w:rsidR="00E603DA" w:rsidRPr="00E603DA" w14:paraId="6209421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1E890B4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0A82788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x30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4A560BA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Wydatki budzetów gmin I miast na prawach powiatu na oświatena 1 mieszkanca w 2024 w setkach zł</w:t>
            </w:r>
          </w:p>
        </w:tc>
      </w:tr>
      <w:tr w:rsidR="00E603DA" w:rsidRPr="00E603DA" w14:paraId="1E898B93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1838FF9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5DB2F7A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35D3EF2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wydatki budzetów gmin I miast na prawach powiatu na Ochrona powietrza atmosferycznego i klimatu na 1 mieszkanca w 2024</w:t>
            </w:r>
          </w:p>
        </w:tc>
      </w:tr>
      <w:tr w:rsidR="00E603DA" w:rsidRPr="00E603DA" w14:paraId="6A9E0FF1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1DBC3DE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INWESTYCJE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99"/>
            <w:noWrap/>
            <w:vAlign w:val="bottom"/>
            <w:hideMark/>
          </w:tcPr>
          <w:p w14:paraId="59A0776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3399"/>
            <w:noWrap/>
            <w:vAlign w:val="bottom"/>
            <w:hideMark/>
          </w:tcPr>
          <w:p w14:paraId="7C1271A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wydatki inwestycyjne budzetów gmin I miast na prawach powiatu na 1 mieszkanca w 2024 w setkach zł</w:t>
            </w:r>
          </w:p>
        </w:tc>
      </w:tr>
      <w:tr w:rsidR="00E603DA" w:rsidRPr="00E603DA" w14:paraId="35A4761E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4CD6847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KULTURA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5CA4A2F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FFFF"/>
            <w:noWrap/>
            <w:vAlign w:val="bottom"/>
            <w:hideMark/>
          </w:tcPr>
          <w:p w14:paraId="330DDB5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biblioteki publiczne na 100,000 ludności w 2024</w:t>
            </w:r>
          </w:p>
        </w:tc>
      </w:tr>
      <w:tr w:rsidR="00E603DA" w:rsidRPr="00E603DA" w14:paraId="11AAE05B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01542AC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KULTURA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14F8D70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FFFF"/>
            <w:noWrap/>
            <w:vAlign w:val="bottom"/>
            <w:hideMark/>
          </w:tcPr>
          <w:p w14:paraId="295DE1C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pozycje księgozbioru bibliotek publicznych na 100 ludności</w:t>
            </w:r>
          </w:p>
        </w:tc>
      </w:tr>
      <w:tr w:rsidR="00E603DA" w:rsidRPr="00E603DA" w14:paraId="25E09D6C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636DAB1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KULTURA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014A1B2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FFFF"/>
            <w:noWrap/>
            <w:vAlign w:val="bottom"/>
            <w:hideMark/>
          </w:tcPr>
          <w:p w14:paraId="1300EF1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średnia liczba godzin otwarcia biblioteki publicznej po godz. 16.00 w 2024 / powiększone 10-krotnie</w:t>
            </w:r>
          </w:p>
        </w:tc>
      </w:tr>
      <w:tr w:rsidR="00E603DA" w:rsidRPr="00E603DA" w14:paraId="31FCE09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3503FE5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KULTURA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7540C6A6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x36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FFFF"/>
            <w:noWrap/>
            <w:vAlign w:val="bottom"/>
            <w:hideMark/>
          </w:tcPr>
          <w:p w14:paraId="5111C69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zajęcia prowadzone przez teatry i instytucje muzyczne, muzea oraz centra, domy, ośrodki kultury, kluby i świetlice na 10,000 ludności w 2024</w:t>
            </w:r>
          </w:p>
        </w:tc>
      </w:tr>
      <w:tr w:rsidR="00E603DA" w:rsidRPr="00E603DA" w14:paraId="0A07746A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4D40776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KULTURA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FFFF"/>
            <w:noWrap/>
            <w:vAlign w:val="bottom"/>
            <w:hideMark/>
          </w:tcPr>
          <w:p w14:paraId="3D31FBB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x37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FFFF"/>
            <w:noWrap/>
            <w:vAlign w:val="bottom"/>
            <w:hideMark/>
          </w:tcPr>
          <w:p w14:paraId="41919B8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uczestnicy imprez (wydarzeń kulturalnych) organizowanych przez teatry i instytucje muzyczne, muzea, galerie sztuki, kina oraz centra, ośrodki kultury, domy kultury, kluby i świetlice na 1,000 ludności w 2024</w:t>
            </w:r>
          </w:p>
        </w:tc>
      </w:tr>
      <w:tr w:rsidR="00E603DA" w:rsidRPr="00E603DA" w14:paraId="0E9D08E6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B09C41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lastRenderedPageBreak/>
              <w:t>OCHRONA ZDROWIA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0B4D8C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x38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0000"/>
            <w:noWrap/>
            <w:vAlign w:val="bottom"/>
            <w:hideMark/>
          </w:tcPr>
          <w:p w14:paraId="54EC76F9" w14:textId="284C7A60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Lekarze pracujący bezpośrednio z pacjentem według województw w przeliczeniu na 10 tys. Mieszkańców – stan w dniu 31 grudnia 2023</w:t>
            </w:r>
          </w:p>
        </w:tc>
      </w:tr>
      <w:tr w:rsidR="00E603DA" w:rsidRPr="00E603DA" w14:paraId="416563B2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96B1C3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OCHRONA ZDROWIA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D277BA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x39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0000"/>
            <w:noWrap/>
            <w:vAlign w:val="bottom"/>
            <w:hideMark/>
          </w:tcPr>
          <w:p w14:paraId="4EC046B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Lekarze dentyści pracujący bezpośrednio z pacjentem według województw – na 10 tys Mieszkańców – stan 31 grudnia 2023</w:t>
            </w:r>
          </w:p>
        </w:tc>
      </w:tr>
      <w:tr w:rsidR="00E603DA" w:rsidRPr="00E603DA" w14:paraId="77204A9A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9AE8A9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OCHRONA ZDROWIA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80898E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x40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0000"/>
            <w:noWrap/>
            <w:vAlign w:val="bottom"/>
            <w:hideMark/>
          </w:tcPr>
          <w:p w14:paraId="2CDEB707" w14:textId="18FF80EE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Pielęgniarki pracujące bezpośrednio z pacjentem według województw na 10 tys mieszkańców – 31 grudnia 2023</w:t>
            </w:r>
          </w:p>
        </w:tc>
      </w:tr>
      <w:tr w:rsidR="00E603DA" w:rsidRPr="00E603DA" w14:paraId="73BF514F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DAE59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OCHRONA ZDROWIA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4A69E3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0000"/>
            <w:noWrap/>
            <w:vAlign w:val="bottom"/>
            <w:hideMark/>
          </w:tcPr>
          <w:p w14:paraId="6710349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Położne na 10,000 kobiet 31 grudnia 2023</w:t>
            </w:r>
          </w:p>
        </w:tc>
      </w:tr>
      <w:tr w:rsidR="00E603DA" w:rsidRPr="00E603DA" w14:paraId="6C7D50D3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D9F419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OCHRONA ZDROWIA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A3AA9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0000"/>
            <w:noWrap/>
            <w:vAlign w:val="bottom"/>
            <w:hideMark/>
          </w:tcPr>
          <w:p w14:paraId="6ED495A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łóżka na oddziałach kardiologicznych na 100 tys. ludności</w:t>
            </w:r>
          </w:p>
        </w:tc>
      </w:tr>
      <w:tr w:rsidR="00E603DA" w:rsidRPr="00E603DA" w14:paraId="6B21D1D4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1E929AE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STAN MATERIALNY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794E3BB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BF8F00"/>
            <w:noWrap/>
            <w:vAlign w:val="bottom"/>
            <w:hideMark/>
          </w:tcPr>
          <w:p w14:paraId="49555EC7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Stopa promil bezrobocia w grudniu 2024</w:t>
            </w:r>
          </w:p>
        </w:tc>
      </w:tr>
      <w:tr w:rsidR="00E603DA" w:rsidRPr="00E603DA" w14:paraId="79C600C2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0B7BB48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STAN MATERIALNY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23C9FC2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BF8F00"/>
            <w:noWrap/>
            <w:vAlign w:val="bottom"/>
            <w:hideMark/>
          </w:tcPr>
          <w:p w14:paraId="16DB6533" w14:textId="1D01EBF3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BENEFICJENCI ŚRODOWISKOWEJ POMOCY SPOŁECZNEJ w promilach</w:t>
            </w:r>
          </w:p>
        </w:tc>
      </w:tr>
      <w:tr w:rsidR="00E603DA" w:rsidRPr="00E603DA" w14:paraId="182484EE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C3399"/>
            <w:noWrap/>
            <w:vAlign w:val="bottom"/>
            <w:hideMark/>
          </w:tcPr>
          <w:p w14:paraId="3C180B4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TURYSTYKA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3399"/>
            <w:noWrap/>
            <w:vAlign w:val="bottom"/>
            <w:hideMark/>
          </w:tcPr>
          <w:p w14:paraId="0174DBB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C3399"/>
            <w:noWrap/>
            <w:vAlign w:val="bottom"/>
            <w:hideMark/>
          </w:tcPr>
          <w:p w14:paraId="7B1CBA5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miejsca noclegowe na 1000 ludnosci w 2024</w:t>
            </w:r>
          </w:p>
        </w:tc>
      </w:tr>
      <w:tr w:rsidR="00E603DA" w:rsidRPr="00E603DA" w14:paraId="62D217B8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CC3399"/>
            <w:noWrap/>
            <w:vAlign w:val="bottom"/>
            <w:hideMark/>
          </w:tcPr>
          <w:p w14:paraId="4C0C52D6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TURYSTYKA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3399"/>
            <w:noWrap/>
            <w:vAlign w:val="bottom"/>
            <w:hideMark/>
          </w:tcPr>
          <w:p w14:paraId="0FD2B45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x46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CC3399"/>
            <w:noWrap/>
            <w:vAlign w:val="bottom"/>
            <w:hideMark/>
          </w:tcPr>
          <w:p w14:paraId="215C090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udzielone noclegi ogółem styczeń-grudzień na 10 ludności w 2024</w:t>
            </w:r>
          </w:p>
        </w:tc>
      </w:tr>
      <w:tr w:rsidR="00E603DA" w:rsidRPr="00E603DA" w14:paraId="50F8112B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30E4DC1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WARUNKI BYTOWE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56DB331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x47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CC66"/>
            <w:noWrap/>
            <w:vAlign w:val="bottom"/>
            <w:hideMark/>
          </w:tcPr>
          <w:p w14:paraId="32430A8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Liczba mieszkań na 100 mieszkańców w 2024 r</w:t>
            </w:r>
          </w:p>
        </w:tc>
      </w:tr>
      <w:tr w:rsidR="00E603DA" w:rsidRPr="00E603DA" w14:paraId="157B4AD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57B791E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WARUNKI BYTOWE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38666C9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x48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CC66"/>
            <w:noWrap/>
            <w:vAlign w:val="bottom"/>
            <w:hideMark/>
          </w:tcPr>
          <w:p w14:paraId="4C5FE25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Odsetek ludności w obiektach  zbiorowego zakwaterowania 2021 / powiększone 100-krotnie</w:t>
            </w:r>
          </w:p>
        </w:tc>
      </w:tr>
      <w:tr w:rsidR="00E603DA" w:rsidRPr="00E603DA" w14:paraId="7BFB22F0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35F32A7E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WARUNKI BYTOWE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4CB1FE7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x49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CC66"/>
            <w:noWrap/>
            <w:vAlign w:val="bottom"/>
            <w:hideMark/>
          </w:tcPr>
          <w:p w14:paraId="637AE048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liczba miejsc w domach studenckich w stosunku do liczby studentow 2024 - jaki odsetek studentow domy domy studenckie są w stanie pomieścić</w:t>
            </w:r>
          </w:p>
        </w:tc>
      </w:tr>
      <w:tr w:rsidR="00E603DA" w:rsidRPr="00E603DA" w14:paraId="5E02E809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6C7849E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WARUNKI BYTOWE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5DB7C80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x50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CC66"/>
            <w:noWrap/>
            <w:vAlign w:val="bottom"/>
            <w:hideMark/>
          </w:tcPr>
          <w:p w14:paraId="6E80CB44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studenci korzystający z domów studenckich w % ogółu studentów 2024</w:t>
            </w:r>
          </w:p>
        </w:tc>
      </w:tr>
      <w:tr w:rsidR="00E603DA" w:rsidRPr="00E603DA" w14:paraId="0EE0CDC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308C96A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WARUNKI BYTOWE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66"/>
            <w:noWrap/>
            <w:vAlign w:val="bottom"/>
            <w:hideMark/>
          </w:tcPr>
          <w:p w14:paraId="1C7D834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x51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00CC66"/>
            <w:noWrap/>
            <w:vAlign w:val="bottom"/>
            <w:hideMark/>
          </w:tcPr>
          <w:p w14:paraId="162119A0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mieszkaniowe gim komunalne 2024 na 10,000 mieszkancow</w:t>
            </w:r>
          </w:p>
        </w:tc>
      </w:tr>
      <w:tr w:rsidR="00E603DA" w:rsidRPr="00E603DA" w14:paraId="1FFC7E68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142AC59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LUDZKIE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5DAAB7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x52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2F75B5"/>
            <w:noWrap/>
            <w:vAlign w:val="bottom"/>
            <w:hideMark/>
          </w:tcPr>
          <w:p w14:paraId="40F206D2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WSPÓŁCZYNNIK AKTYWNOŚCI ZAWODOWEJ OSÓB W WIEKU 15-89 LAT w 4 kwartale 2024</w:t>
            </w:r>
          </w:p>
        </w:tc>
      </w:tr>
      <w:tr w:rsidR="00E603DA" w:rsidRPr="00E603DA" w14:paraId="6932D726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48A26A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LUDZKIE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2F9004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x53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2F75B5"/>
            <w:noWrap/>
            <w:vAlign w:val="bottom"/>
            <w:hideMark/>
          </w:tcPr>
          <w:p w14:paraId="158D4F9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odsetek ludnosci w wieku produkcyjnym - 2021 sp</w:t>
            </w:r>
          </w:p>
        </w:tc>
      </w:tr>
      <w:tr w:rsidR="00E603DA" w:rsidRPr="00E603DA" w14:paraId="72138BD3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E74CCB5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LUDZKIE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1DE17E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x54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2F75B5"/>
            <w:noWrap/>
            <w:vAlign w:val="bottom"/>
            <w:hideMark/>
          </w:tcPr>
          <w:p w14:paraId="004855E3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odsetek ludnosci z wyksztalceniem wyzszym. 2021 sp</w:t>
            </w:r>
          </w:p>
        </w:tc>
      </w:tr>
      <w:tr w:rsidR="00E603DA" w:rsidRPr="00E603DA" w14:paraId="6EA29DA5" w14:textId="77777777" w:rsidTr="00E603DA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2E81DD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LUDZKIE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DCE3AB1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x55</w:t>
            </w:r>
          </w:p>
        </w:tc>
        <w:tc>
          <w:tcPr>
            <w:tcW w:w="396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2F75B5"/>
            <w:noWrap/>
            <w:vAlign w:val="bottom"/>
            <w:hideMark/>
          </w:tcPr>
          <w:p w14:paraId="7BAE73EF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Współczynnik obciążenia demograficznego (liczba osób w wieku nieprodukcyjnym na 100 osób w wieku produkcyjnym - 2024</w:t>
            </w:r>
          </w:p>
        </w:tc>
      </w:tr>
      <w:tr w:rsidR="00E603DA" w:rsidRPr="00E603DA" w14:paraId="709E4040" w14:textId="77777777" w:rsidTr="00E603DA">
        <w:trPr>
          <w:trHeight w:val="300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F86ACAA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ZASOBY LUDZKIE</w:t>
            </w:r>
          </w:p>
        </w:tc>
        <w:tc>
          <w:tcPr>
            <w:tcW w:w="14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C9ADAFD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x56</w:t>
            </w:r>
          </w:p>
        </w:tc>
        <w:tc>
          <w:tcPr>
            <w:tcW w:w="396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2F75B5"/>
            <w:noWrap/>
            <w:vAlign w:val="bottom"/>
            <w:hideMark/>
          </w:tcPr>
          <w:p w14:paraId="7BCFDEAB" w14:textId="77777777" w:rsidR="00E603DA" w:rsidRPr="00E603DA" w:rsidRDefault="00E603DA" w:rsidP="00E60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</w:pPr>
            <w:r w:rsidRPr="00E603D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l-PL"/>
                <w14:ligatures w14:val="none"/>
              </w:rPr>
              <w:t>Współczynnik obciążenia demograficznego (liczba osób w wieku nieprodukcyjnym na 100 osób w wieku produkcyjnym - 2024</w:t>
            </w:r>
          </w:p>
        </w:tc>
      </w:tr>
    </w:tbl>
    <w:p w14:paraId="20521B16" w14:textId="0213DA74" w:rsidR="00554734" w:rsidRDefault="00E603DA" w:rsidP="00E603DA">
      <w:r>
        <w:fldChar w:fldCharType="end"/>
      </w:r>
    </w:p>
    <w:p w14:paraId="11BA8E5C" w14:textId="18D9FBC2" w:rsidR="00A03DF2" w:rsidRDefault="00A03DF2" w:rsidP="001A562E">
      <w:pPr>
        <w:pStyle w:val="Caption"/>
        <w:keepNext/>
        <w:jc w:val="center"/>
      </w:pPr>
      <w:r>
        <w:t xml:space="preserve">Tabela </w:t>
      </w:r>
      <w:r w:rsidR="004A756B">
        <w:fldChar w:fldCharType="begin"/>
      </w:r>
      <w:r w:rsidR="004A756B">
        <w:instrText xml:space="preserve"> SEQ Tabela \* ARABIC </w:instrText>
      </w:r>
      <w:r w:rsidR="004A756B">
        <w:fldChar w:fldCharType="separate"/>
      </w:r>
      <w:r w:rsidR="00790FD7">
        <w:rPr>
          <w:noProof/>
        </w:rPr>
        <w:t>2</w:t>
      </w:r>
      <w:r w:rsidR="004A756B">
        <w:rPr>
          <w:noProof/>
        </w:rPr>
        <w:fldChar w:fldCharType="end"/>
      </w:r>
      <w:r>
        <w:t xml:space="preserve"> Wartości empiryczne</w:t>
      </w:r>
    </w:p>
    <w:p w14:paraId="22B09991" w14:textId="2E877CAF" w:rsidR="00E603DA" w:rsidRDefault="00B468CC" w:rsidP="00E603DA">
      <w:r w:rsidRPr="00B468CC">
        <w:rPr>
          <w:noProof/>
        </w:rPr>
        <w:drawing>
          <wp:inline distT="0" distB="0" distL="0" distR="0" wp14:anchorId="10E9CFD2" wp14:editId="14C1358A">
            <wp:extent cx="5760720" cy="2454275"/>
            <wp:effectExtent l="0" t="0" r="0" b="3175"/>
            <wp:docPr id="18578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BA7F" w14:textId="3981E574" w:rsidR="00B468CC" w:rsidRDefault="00B468CC" w:rsidP="00E603DA">
      <w:r w:rsidRPr="00B468CC">
        <w:rPr>
          <w:noProof/>
        </w:rPr>
        <w:lastRenderedPageBreak/>
        <w:drawing>
          <wp:inline distT="0" distB="0" distL="0" distR="0" wp14:anchorId="52069512" wp14:editId="0AF36DF1">
            <wp:extent cx="5760720" cy="2386965"/>
            <wp:effectExtent l="0" t="0" r="0" b="0"/>
            <wp:docPr id="196761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39EF" w14:textId="5DF1A6D0" w:rsidR="00B468CC" w:rsidRDefault="00B468CC" w:rsidP="00E603DA">
      <w:r w:rsidRPr="00B468CC">
        <w:rPr>
          <w:noProof/>
        </w:rPr>
        <w:drawing>
          <wp:inline distT="0" distB="0" distL="0" distR="0" wp14:anchorId="581D6569" wp14:editId="0008A8E5">
            <wp:extent cx="5760720" cy="2454275"/>
            <wp:effectExtent l="0" t="0" r="0" b="3175"/>
            <wp:docPr id="1076659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F202" w14:textId="2ADC4AA3" w:rsidR="00B468CC" w:rsidRDefault="00B468CC" w:rsidP="00E603DA">
      <w:r w:rsidRPr="00B468CC">
        <w:rPr>
          <w:noProof/>
        </w:rPr>
        <w:drawing>
          <wp:inline distT="0" distB="0" distL="0" distR="0" wp14:anchorId="7E73A409" wp14:editId="73F79EEF">
            <wp:extent cx="5760720" cy="2386965"/>
            <wp:effectExtent l="0" t="0" r="0" b="0"/>
            <wp:docPr id="30631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0A07" w14:textId="77777777" w:rsidR="004B461C" w:rsidRDefault="004B461C" w:rsidP="00E603DA"/>
    <w:p w14:paraId="4A3FFFCD" w14:textId="77777777" w:rsidR="004A756B" w:rsidRDefault="004A756B" w:rsidP="00E603DA"/>
    <w:p w14:paraId="3CCABEDE" w14:textId="77777777" w:rsidR="004A756B" w:rsidRDefault="004A756B" w:rsidP="00E603DA"/>
    <w:p w14:paraId="7C3D1E70" w14:textId="77777777" w:rsidR="004A756B" w:rsidRDefault="004A756B" w:rsidP="00E603DA"/>
    <w:p w14:paraId="20223206" w14:textId="47B21B83" w:rsidR="00EB1205" w:rsidRDefault="00EB1205" w:rsidP="006D6ABE">
      <w:pPr>
        <w:pStyle w:val="Heading2"/>
      </w:pPr>
      <w:r>
        <w:lastRenderedPageBreak/>
        <w:t xml:space="preserve">Interpretacja </w:t>
      </w:r>
      <w:r w:rsidR="006D6ABE">
        <w:t>statystyk opisowych</w:t>
      </w:r>
    </w:p>
    <w:p w14:paraId="56A1E675" w14:textId="53031D89" w:rsidR="006D6ABE" w:rsidRDefault="00C2708C" w:rsidP="00E603DA">
      <w:r w:rsidRPr="00C2708C">
        <w:t>W tabeli 3 przedstawiono najważniejsze statystyki opisowe badanych zmiennych. Choć klasyczne miary, takie jak średnia arytmetyczna czy mediana, pozwalają na ogólne zorientowanie się w skali zjawisk, to z punktu widzenia dalszych etapów analizy wiel</w:t>
      </w:r>
      <w:r>
        <w:t>o</w:t>
      </w:r>
      <w:r w:rsidRPr="00C2708C">
        <w:t>wymiarowej kluczowe znaczenie ma ocena zmienności oraz asymetrii rozkładów. To właśnie te dwie cechy decydują o tym, czy dany wskaźnik wnosi do badania realną wartość informacyjną, czy też powinien zostać z niego wykluczony.</w:t>
      </w:r>
    </w:p>
    <w:p w14:paraId="2710D634" w14:textId="499C78AE" w:rsidR="004A756B" w:rsidRDefault="004A756B" w:rsidP="001A562E">
      <w:pPr>
        <w:pStyle w:val="Caption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FD7">
        <w:rPr>
          <w:noProof/>
        </w:rPr>
        <w:t>3</w:t>
      </w:r>
      <w:r>
        <w:rPr>
          <w:noProof/>
        </w:rPr>
        <w:fldChar w:fldCharType="end"/>
      </w:r>
      <w:r>
        <w:t xml:space="preserve"> Statystyki opisowe wraz z interpretacją</w:t>
      </w:r>
    </w:p>
    <w:p w14:paraId="7AA170B2" w14:textId="1441D9EF" w:rsidR="00B468CC" w:rsidRDefault="004A756B" w:rsidP="00C2708C">
      <w:pPr>
        <w:jc w:val="center"/>
      </w:pPr>
      <w:r w:rsidRPr="004A756B">
        <w:rPr>
          <w:noProof/>
        </w:rPr>
        <w:drawing>
          <wp:inline distT="0" distB="0" distL="0" distR="0" wp14:anchorId="68EBDAB1" wp14:editId="6780CB46">
            <wp:extent cx="5242560" cy="6809780"/>
            <wp:effectExtent l="0" t="0" r="0" b="0"/>
            <wp:docPr id="2057476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45" cy="681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1973" w14:textId="38FC29B1" w:rsidR="00C2708C" w:rsidRDefault="00903E19" w:rsidP="00C2708C">
      <w:r w:rsidRPr="00903E19">
        <w:lastRenderedPageBreak/>
        <w:t>W celu interpretacji kierunku i siły asymetrii rozkładu poszczególnych zmiennych, przyjęto następujące kryteria formalne:</w:t>
      </w:r>
    </w:p>
    <w:p w14:paraId="4C9CCD62" w14:textId="62A6B30D" w:rsidR="00903E19" w:rsidRDefault="00903E19" w:rsidP="00903E19">
      <w:pPr>
        <w:pStyle w:val="ListParagraph"/>
        <w:numPr>
          <w:ilvl w:val="0"/>
          <w:numId w:val="2"/>
        </w:numPr>
      </w:pPr>
      <w:r w:rsidRPr="00903E19">
        <w:t>Słaba / umiarkowana asymetria (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skosnosc</m:t>
            </m:r>
          </m:e>
        </m:d>
        <m:r>
          <w:rPr>
            <w:rFonts w:ascii="Cambria Math" w:hAnsi="Cambria Math"/>
          </w:rPr>
          <m:t>≤1.2</m:t>
        </m:r>
      </m:oMath>
      <w:r w:rsidRPr="00903E19">
        <w:t>): Oznacza, że rozkład danych jest w miarę symetryczny. Wartości badanych cech rozkładają się w miarę równomiernie wokół średniej, co oznacza stabilną sytuację w większości województw, choć sporadycznie mogą pojawić się pojedyncze wartości nietypowe.</w:t>
      </w:r>
    </w:p>
    <w:p w14:paraId="7949C076" w14:textId="113053FC" w:rsidR="00903E19" w:rsidRDefault="00903E19" w:rsidP="00903E19">
      <w:pPr>
        <w:pStyle w:val="ListParagraph"/>
        <w:numPr>
          <w:ilvl w:val="0"/>
          <w:numId w:val="2"/>
        </w:numPr>
      </w:pPr>
      <w:r w:rsidRPr="00903E19">
        <w:t>Silna skośność prawostronna (</w:t>
      </w:r>
      <m:oMath>
        <m:r>
          <w:rPr>
            <w:rFonts w:ascii="Cambria Math" w:hAnsi="Cambria Math"/>
          </w:rPr>
          <m:t>skosnosc&gt;1.2</m:t>
        </m:r>
      </m:oMath>
      <w:r w:rsidRPr="00903E19">
        <w:t>): Oznacza, że większość województw cechuje się zbliżonymi, niższymi wartościami</w:t>
      </w:r>
      <w:r>
        <w:t>. T</w:t>
      </w:r>
      <w:r w:rsidRPr="00903E19">
        <w:t>am koncentrują się dane</w:t>
      </w:r>
      <w:r>
        <w:t>.</w:t>
      </w:r>
      <w:r w:rsidRPr="00903E19">
        <w:t xml:space="preserve"> </w:t>
      </w:r>
      <w:r>
        <w:t>N</w:t>
      </w:r>
      <w:r w:rsidRPr="00903E19">
        <w:t xml:space="preserve">atomiast ogólna średnia dla kraju jest zawyżana przez nieliczne województwa osiągające skrajnie wysokie, nietypowe wyniki </w:t>
      </w:r>
    </w:p>
    <w:p w14:paraId="6EE3C8B5" w14:textId="3A911669" w:rsidR="00903E19" w:rsidRDefault="00903E19" w:rsidP="00903E19">
      <w:pPr>
        <w:pStyle w:val="ListParagraph"/>
        <w:numPr>
          <w:ilvl w:val="0"/>
          <w:numId w:val="2"/>
        </w:numPr>
      </w:pPr>
      <w:r w:rsidRPr="00903E19">
        <w:t>Silna skośność lewostronna (</w:t>
      </w:r>
      <m:oMath>
        <m:r>
          <w:rPr>
            <w:rFonts w:ascii="Cambria Math" w:hAnsi="Cambria Math"/>
          </w:rPr>
          <m:t>skosnosc&lt;-1.2</m:t>
        </m:r>
      </m:oMath>
      <w:r w:rsidRPr="00903E19">
        <w:t>): Sytuacja odwrotna – punkt koncentracji danych znajduje się powyżej średniej. Zdecydowana większość regionów osiąga wysokie, zbliżone wyniki, natomiast ogólną średnią dla Polski zaniża zaledwie kilka województw o skrajnie niskich wartościach</w:t>
      </w:r>
    </w:p>
    <w:p w14:paraId="1162C338" w14:textId="5F7E7F71" w:rsidR="00AA0542" w:rsidRDefault="00AA0542" w:rsidP="00AA0542">
      <w:r>
        <w:t>W kontekście analizowanego zbioru danych, zdecydowana większość badanych zmiennych cechuje się słabą</w:t>
      </w:r>
      <w:r>
        <w:t>/</w:t>
      </w:r>
      <w:r>
        <w:t>umiarkowaną asymetrią. Świadczy to o tym, że pod względem większości wskaźników społeczno-gospodarczych polskie województwa nie wykazują drastycznych, punktowych anomalii, a przejścia między poziomami rozwoju są w miarę płynne.</w:t>
      </w:r>
      <w:r w:rsidR="00920CEE">
        <w:t xml:space="preserve"> </w:t>
      </w:r>
      <w:r>
        <w:t>Istnieją jednak wyraźne wyjątki od tej reguły, które odsłaniają dysproporcje w konkretnych obszarach</w:t>
      </w:r>
      <w:r>
        <w:t>.</w:t>
      </w:r>
    </w:p>
    <w:p w14:paraId="16374FD4" w14:textId="7C1ED794" w:rsidR="0006733C" w:rsidRDefault="0006733C" w:rsidP="001A562E">
      <w:pPr>
        <w:pStyle w:val="Caption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FD7">
        <w:rPr>
          <w:noProof/>
        </w:rPr>
        <w:t>4</w:t>
      </w:r>
      <w:r>
        <w:fldChar w:fldCharType="end"/>
      </w:r>
      <w:r>
        <w:t xml:space="preserve"> Opis zmiennych, dla których stwierdzono silną prawostronną asymetrię</w:t>
      </w:r>
    </w:p>
    <w:tbl>
      <w:tblPr>
        <w:tblW w:w="9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459"/>
        <w:gridCol w:w="5250"/>
      </w:tblGrid>
      <w:tr w:rsidR="00920CEE" w:rsidRPr="0006733C" w14:paraId="33D1F983" w14:textId="77777777" w:rsidTr="00920CEE">
        <w:trPr>
          <w:trHeight w:val="300"/>
          <w:jc w:val="center"/>
        </w:trPr>
        <w:tc>
          <w:tcPr>
            <w:tcW w:w="334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1D11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DEMOGRAFIA</w:t>
            </w:r>
          </w:p>
        </w:tc>
        <w:tc>
          <w:tcPr>
            <w:tcW w:w="459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E4BD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x01</w:t>
            </w:r>
          </w:p>
        </w:tc>
        <w:tc>
          <w:tcPr>
            <w:tcW w:w="5250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EDF9E8B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gęstość zaludnienie (os / km2) - 2021 SP</w:t>
            </w:r>
          </w:p>
        </w:tc>
      </w:tr>
      <w:tr w:rsidR="00920CEE" w:rsidRPr="0006733C" w14:paraId="75D854CE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DE737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GOSPODARKA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BED8A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x11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754A8B1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pkb na osobę w 2023 w 1000 zl</w:t>
            </w:r>
          </w:p>
        </w:tc>
      </w:tr>
      <w:tr w:rsidR="00920CEE" w:rsidRPr="0006733C" w14:paraId="304EC2E4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A601F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GOSPODARKA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62D59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x13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7868FFD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dochody budżetów województw na 1 mieszkanca w roku 2024 w dziesiątkach złotych</w:t>
            </w:r>
          </w:p>
        </w:tc>
      </w:tr>
      <w:tr w:rsidR="00920CEE" w:rsidRPr="0006733C" w14:paraId="25E70B3A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6078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GOSPODARKA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CCBE9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x15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D078E3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Przeciętne miesięczne wynagrodzenia brutto w 2024 w setkach zł</w:t>
            </w:r>
          </w:p>
        </w:tc>
      </w:tr>
      <w:tr w:rsidR="00920CEE" w:rsidRPr="0006733C" w14:paraId="70936E9F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67BAD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359E4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x21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8FC4297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długość linii komunikacji miejskiej na 100,000 mieszkańców 2024 w km</w:t>
            </w:r>
          </w:p>
        </w:tc>
      </w:tr>
      <w:tr w:rsidR="00920CEE" w:rsidRPr="0006733C" w14:paraId="514C7705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7CCCF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INSRASTRUKTURA TRANSPORTOWA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91590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x24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7CD1286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linie kolejowe ogółem na 1000 km2 w 2024</w:t>
            </w:r>
          </w:p>
        </w:tc>
      </w:tr>
      <w:tr w:rsidR="00920CEE" w:rsidRPr="0006733C" w14:paraId="0AD242C6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EDA9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INWESTYCJE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187D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x27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A7C3A37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nakłady inwestycyjne w przedsiębiorstwach na 1 mieszkańca w 2024 w setkach zł</w:t>
            </w:r>
          </w:p>
        </w:tc>
      </w:tr>
      <w:tr w:rsidR="00920CEE" w:rsidRPr="0006733C" w14:paraId="77341704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863E5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INWESTYCJE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D2A59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x28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74E7039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 xml:space="preserve"> WYDATKI BUDŻETÓW GMIN I MIAST NA PRAWACH POWIATU na 1 mieszkanca w 2024 w setkach zł</w:t>
            </w:r>
          </w:p>
        </w:tc>
      </w:tr>
      <w:tr w:rsidR="00920CEE" w:rsidRPr="0006733C" w14:paraId="269F9610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3EC44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KULTURA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BB144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x36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67C38E5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zajęcia prowadzone przez teatry i instytucje muzyczne, muzea oraz centra, domy, ośrodki kultury, kluby i świetlice na 10,000 ludności w 2024</w:t>
            </w:r>
          </w:p>
        </w:tc>
      </w:tr>
      <w:tr w:rsidR="00920CEE" w:rsidRPr="0006733C" w14:paraId="0EDC2FF5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BABA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TURYSTYKA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666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x45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AF89E42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miejsca noclegowe na 1000 ludnosci w 2024</w:t>
            </w:r>
          </w:p>
        </w:tc>
      </w:tr>
      <w:tr w:rsidR="00920CEE" w:rsidRPr="0006733C" w14:paraId="00DEED1C" w14:textId="77777777" w:rsidTr="00920CEE">
        <w:trPr>
          <w:trHeight w:val="288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85A6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TURYSTYKA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FB43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x46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402F789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udzielone noclegi ogółem styczeń-grudzień na 10 ludności w 2024</w:t>
            </w:r>
          </w:p>
        </w:tc>
      </w:tr>
      <w:tr w:rsidR="00920CEE" w:rsidRPr="0006733C" w14:paraId="33E13345" w14:textId="77777777" w:rsidTr="00920CEE">
        <w:trPr>
          <w:trHeight w:val="300"/>
          <w:jc w:val="center"/>
        </w:trPr>
        <w:tc>
          <w:tcPr>
            <w:tcW w:w="334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33AF057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ZASOBY LUDZKIE</w:t>
            </w:r>
          </w:p>
        </w:tc>
        <w:tc>
          <w:tcPr>
            <w:tcW w:w="4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22F0AF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x54</w:t>
            </w:r>
          </w:p>
        </w:tc>
        <w:tc>
          <w:tcPr>
            <w:tcW w:w="525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62781597" w14:textId="77777777" w:rsidR="00920CEE" w:rsidRPr="0006733C" w:rsidRDefault="00920CEE" w:rsidP="0092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odsetek ludnosci z wyksztalceniem wyzszym. 2021 sp</w:t>
            </w:r>
          </w:p>
        </w:tc>
      </w:tr>
    </w:tbl>
    <w:p w14:paraId="50574204" w14:textId="77777777" w:rsidR="00480C5E" w:rsidRDefault="00480C5E" w:rsidP="00AA0542"/>
    <w:p w14:paraId="6F0DA0A7" w14:textId="77777777" w:rsidR="00243D47" w:rsidRDefault="00920CEE" w:rsidP="00243D47">
      <w:pPr>
        <w:keepNext/>
        <w:jc w:val="center"/>
      </w:pPr>
      <w:r w:rsidRPr="00920CEE">
        <w:lastRenderedPageBreak/>
        <w:drawing>
          <wp:inline distT="0" distB="0" distL="0" distR="0" wp14:anchorId="7BD1E512" wp14:editId="6D37484D">
            <wp:extent cx="5760720" cy="3884295"/>
            <wp:effectExtent l="0" t="0" r="0" b="1905"/>
            <wp:docPr id="13387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51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CB0" w14:textId="64D6E8F1" w:rsidR="00920CEE" w:rsidRDefault="00243D47" w:rsidP="00243D47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90FD7">
        <w:rPr>
          <w:noProof/>
        </w:rPr>
        <w:t>1</w:t>
      </w:r>
      <w:r>
        <w:fldChar w:fldCharType="end"/>
      </w:r>
      <w:r>
        <w:t xml:space="preserve"> Histogramy zmiennych, dla których stwierdzono silną asymetrie prawostronną</w:t>
      </w:r>
    </w:p>
    <w:p w14:paraId="12A295DD" w14:textId="025C0652" w:rsidR="000E6D41" w:rsidRDefault="0006733C" w:rsidP="00920CEE">
      <w:r w:rsidRPr="0006733C">
        <w:t xml:space="preserve">Analiza histogramów </w:t>
      </w:r>
      <w:r>
        <w:t>na rysunku 1</w:t>
      </w:r>
      <w:r w:rsidRPr="0006733C">
        <w:t xml:space="preserve"> wskazuje, że dla większości zmiennych wartości koncentrują się w dolnych przedziałach ich klasycznych obszarów zmienności. Wyraźnie widocznym zjawiskiem jest jednak występowanie pojedynczych, silnych obserwacji </w:t>
      </w:r>
      <w:r>
        <w:t>nietypowych</w:t>
      </w:r>
      <w:r w:rsidRPr="0006733C">
        <w:t xml:space="preserve"> dla każdej z badanych cech. W związku z tym w kolejnym kroku zidentyfikowano województwa generujące te anomalie, co pozwoliło wskazać jednoznacznych liderów poszczególnych wymiarów rozwoju.</w:t>
      </w:r>
    </w:p>
    <w:p w14:paraId="1A3CD4FD" w14:textId="165E5FE8" w:rsidR="00C706AA" w:rsidRDefault="00C706AA" w:rsidP="00920CEE">
      <w:r w:rsidRPr="00C706AA">
        <w:t>Zestawienie województw osiągających maksymalne wartości dla poszczególnych zmiennych przedstawiono w tabeli 5. Zgodnie z przewidywaniami, w zestawieniu dominuje województwo mazowieckie, które wyznacza górną granicę wielowymiarowego rozwoju kraju. Region ten notuje najwyższe wskaźniki w kluczowych obszarach gospodarczych i społecznych, takich jak: PKB, dochody budżetów regionalnych, przeciętne wynagrodzenia oraz nakłady inwestycyjne. Mazowsze jest również liderem pod względem poziomu wykształcenia mieszkańców oraz aktywności instytucji kulturalnych. Co istotne z punktu widzenia metodologicznego</w:t>
      </w:r>
      <w:r>
        <w:t>,</w:t>
      </w:r>
      <w:r w:rsidRPr="00C706AA">
        <w:t xml:space="preserve"> </w:t>
      </w:r>
      <w:r>
        <w:t>d</w:t>
      </w:r>
      <w:r w:rsidRPr="00C706AA">
        <w:t>ominacja ta jest wyraźna pomimo wcześniejszego przeliczenia danych per capita oraz ich przeskalowania. Dowodzi to, że region stołeczny stanowi silną, autonomiczną obserwację odstającą, która w unikalny sposób różnicuje strukturę gospodarczą Polski.</w:t>
      </w:r>
    </w:p>
    <w:p w14:paraId="3CD04428" w14:textId="1CD37A77" w:rsidR="00C706AA" w:rsidRDefault="00C706AA" w:rsidP="00920CEE">
      <w:r w:rsidRPr="00C706AA">
        <w:t>Województwo śląskie dystansuje pozostałe regiony pod względem gęstości zaludnienia oraz rozwoju infrastruktury transportowej</w:t>
      </w:r>
      <w:r>
        <w:t xml:space="preserve">, </w:t>
      </w:r>
      <w:r w:rsidRPr="00C706AA">
        <w:t xml:space="preserve">zarówno drogowej, jak i kolejowej. Wynik ten </w:t>
      </w:r>
      <w:r w:rsidRPr="00C706AA">
        <w:lastRenderedPageBreak/>
        <w:t>w pełni odzwierciedla specyfikę policentrycznej konurbacji górnośląskiej, charakteryzującej się unikalną w skali kraju siecią powiązanych ze sobą miast.</w:t>
      </w:r>
    </w:p>
    <w:p w14:paraId="48B40A98" w14:textId="0A8BC1C8" w:rsidR="00C706AA" w:rsidRDefault="00C706AA" w:rsidP="00920CEE">
      <w:r w:rsidRPr="00C706AA">
        <w:t>Województwo zachodniopomorskie okazuje się bezkonkurencyjne w wymiarze turystycznym, osiągając najwyższy wskaźnik liczby udzielonych noclegów. Potwierdza to silną specjalizację funkcjonalną tego regionu jako głównego bieguna turystyki w Polsce.</w:t>
      </w:r>
    </w:p>
    <w:p w14:paraId="549E4844" w14:textId="0A1EF45E" w:rsidR="000E6D41" w:rsidRDefault="000E6D41" w:rsidP="001A562E">
      <w:pPr>
        <w:pStyle w:val="Caption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FD7">
        <w:rPr>
          <w:noProof/>
        </w:rPr>
        <w:t>5</w:t>
      </w:r>
      <w:r>
        <w:fldChar w:fldCharType="end"/>
      </w:r>
      <w:r>
        <w:t xml:space="preserve"> Zmienne z silną asymetrią prawostronną wraz z województwami, dla których wartość zmiennej jest największa</w:t>
      </w:r>
    </w:p>
    <w:tbl>
      <w:tblPr>
        <w:tblW w:w="9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7"/>
        <w:gridCol w:w="2340"/>
        <w:gridCol w:w="5682"/>
      </w:tblGrid>
      <w:tr w:rsidR="0006733C" w:rsidRPr="0006733C" w14:paraId="1208DE12" w14:textId="77777777" w:rsidTr="0006733C">
        <w:trPr>
          <w:trHeight w:val="312"/>
          <w:jc w:val="center"/>
        </w:trPr>
        <w:tc>
          <w:tcPr>
            <w:tcW w:w="10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66C46BA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ZMIENNA</w:t>
            </w:r>
          </w:p>
        </w:tc>
        <w:tc>
          <w:tcPr>
            <w:tcW w:w="234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2E22B01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NAJWIĘKSZA WARTOŚĆ</w:t>
            </w:r>
          </w:p>
        </w:tc>
        <w:tc>
          <w:tcPr>
            <w:tcW w:w="568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1998B29D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OPIS</w:t>
            </w:r>
          </w:p>
        </w:tc>
      </w:tr>
      <w:tr w:rsidR="0006733C" w:rsidRPr="0006733C" w14:paraId="4D6218C9" w14:textId="77777777" w:rsidTr="0006733C">
        <w:trPr>
          <w:trHeight w:val="300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1261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1C23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ŚLĄSKIE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33618CD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gęstość zaludnienie (os / km2) - 2021 SP</w:t>
            </w:r>
          </w:p>
        </w:tc>
      </w:tr>
      <w:tr w:rsidR="0006733C" w:rsidRPr="0006733C" w14:paraId="6C9E0FAF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A63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A2F5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27E916F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pkb na osobę w 2023 w 1000 zl</w:t>
            </w:r>
          </w:p>
        </w:tc>
      </w:tr>
      <w:tr w:rsidR="0006733C" w:rsidRPr="0006733C" w14:paraId="29329A76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ADE7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83E2C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9B6143A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dochody budżetów województw na 1 mieszkanca w roku 2024 w dziesiątkach złotych]</w:t>
            </w:r>
          </w:p>
        </w:tc>
      </w:tr>
      <w:tr w:rsidR="0006733C" w:rsidRPr="0006733C" w14:paraId="3DE213A0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C6CD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87B5B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7310037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Przeciętne miesięczne wynagrodzenia brutto w 2024 w setkach zł</w:t>
            </w:r>
          </w:p>
        </w:tc>
      </w:tr>
      <w:tr w:rsidR="0006733C" w:rsidRPr="0006733C" w14:paraId="3D90227B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AC35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620E2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ŚLĄSKIE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F983758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długość linii komunikacji miejskiej na 100,000 mieszkańców 2024 w km</w:t>
            </w:r>
          </w:p>
        </w:tc>
      </w:tr>
      <w:tr w:rsidR="0006733C" w:rsidRPr="0006733C" w14:paraId="0250FB06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97BB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4D2FA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ŚLĄSKIE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0AE85D4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linie kolejowe ogółem na 1000 km2 w 2024</w:t>
            </w:r>
          </w:p>
        </w:tc>
      </w:tr>
      <w:tr w:rsidR="0006733C" w:rsidRPr="0006733C" w14:paraId="64DBEFA3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AC2F5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308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E10C82A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inwestycyjne w przedsiębiorstwach na 1 mieszkańca w 2024 w setkach zł</w:t>
            </w:r>
          </w:p>
        </w:tc>
      </w:tr>
      <w:tr w:rsidR="0006733C" w:rsidRPr="0006733C" w14:paraId="5E8FA437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2E22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7BA1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EBB3291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WYDATKI BUDŻETÓW GMIN I MIAST NA PRAWACH POWIATU na 1 mieszkanca w 2024 w setkach zł</w:t>
            </w:r>
          </w:p>
        </w:tc>
      </w:tr>
      <w:tr w:rsidR="0006733C" w:rsidRPr="0006733C" w14:paraId="054EA9F3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BAD05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x36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66E4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MAŁOPOLSKIE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CFD1D02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zajęcia prowadzone przez teatry i instytucje muzyczne, muzea oraz centra, domy, ośrodki kultury, kluby i świetlice na 10,000 ludności w 2024</w:t>
            </w:r>
          </w:p>
        </w:tc>
      </w:tr>
      <w:tr w:rsidR="0006733C" w:rsidRPr="0006733C" w14:paraId="7FB5E266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A890C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x45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6CED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ZACHODNIOPOMORSKIE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307723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miejsca noclegowe na 1000 ludnosci w 2024</w:t>
            </w:r>
          </w:p>
        </w:tc>
      </w:tr>
      <w:tr w:rsidR="0006733C" w:rsidRPr="0006733C" w14:paraId="0C247D8B" w14:textId="77777777" w:rsidTr="0006733C">
        <w:trPr>
          <w:trHeight w:val="288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6042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x46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B1E5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ZACHODNIOPOMORSKIE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57D8A04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udzielone noclegi ogółem styczeń-grudzień na 10 ludności w 2024</w:t>
            </w:r>
          </w:p>
        </w:tc>
      </w:tr>
      <w:tr w:rsidR="0006733C" w:rsidRPr="0006733C" w14:paraId="63F8ADF4" w14:textId="77777777" w:rsidTr="0006733C">
        <w:trPr>
          <w:trHeight w:val="300"/>
          <w:jc w:val="center"/>
        </w:trPr>
        <w:tc>
          <w:tcPr>
            <w:tcW w:w="102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EF0F8E9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x54</w:t>
            </w:r>
          </w:p>
        </w:tc>
        <w:tc>
          <w:tcPr>
            <w:tcW w:w="234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D8A046C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MAZOWIECKIE</w:t>
            </w:r>
          </w:p>
        </w:tc>
        <w:tc>
          <w:tcPr>
            <w:tcW w:w="5682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22D86DCA" w14:textId="77777777" w:rsidR="0006733C" w:rsidRPr="0006733C" w:rsidRDefault="0006733C" w:rsidP="0006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673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odsetek ludnosci z wyksztalceniem wyzszym. 2021 sp</w:t>
            </w:r>
          </w:p>
        </w:tc>
      </w:tr>
    </w:tbl>
    <w:p w14:paraId="23F15EB8" w14:textId="77777777" w:rsidR="0006733C" w:rsidRDefault="0006733C" w:rsidP="00C706AA"/>
    <w:p w14:paraId="458275CE" w14:textId="5616A4DC" w:rsidR="00C706AA" w:rsidRDefault="00C706AA" w:rsidP="00C706AA">
      <w:r w:rsidRPr="00C706AA">
        <w:t>Biorąc powyższe pod uwagę, zidentyfikowane anomalie mają charakter w pełni merytoryczny i wynikają ze specyfiki ekonomiczno-geograficznej badanych regionów. Nie stanowią one błędów pomiarowych ani rejestracyjnych, w związku z czym podjęto decyzję o pozostawieniu ich w zbiorze danych. Ich eliminacja pozbawiłaby model kluczowych informacji o rzeczywistych dysproporcjach regionalnych.</w:t>
      </w:r>
    </w:p>
    <w:p w14:paraId="203935CF" w14:textId="7B6E2547" w:rsidR="00A30D61" w:rsidRDefault="00A30D61" w:rsidP="00C706AA">
      <w:r w:rsidRPr="00A30D61">
        <w:t>Równolegle z badaniem asymetrii, kluczowym elementem analizy wstępnej była ocena poziomu zróżnicowania zmiennych za pomocą klasycznego współczynnika zmienności (</w:t>
      </w:r>
      <m:oMath>
        <m:r>
          <w:rPr>
            <w:rFonts w:ascii="Cambria Math" w:hAnsi="Cambria Math"/>
          </w:rPr>
          <m:t>v</m:t>
        </m:r>
      </m:oMath>
      <w:r w:rsidRPr="00A30D61">
        <w:t>). Pozwoliło to określić siłę, z jaką poszczególne wskaźniki różnicują badane województwa. Na potrzeby raportu przyjęto pięciostopniową klasyfikację poziomu zmienności, określoną następującymi kryteriami formalnymi:</w:t>
      </w:r>
    </w:p>
    <w:p w14:paraId="33247266" w14:textId="065912D2" w:rsidR="00A30D61" w:rsidRDefault="00A30D61" w:rsidP="00A30D61">
      <w:pPr>
        <w:pStyle w:val="ListParagraph"/>
        <w:numPr>
          <w:ilvl w:val="0"/>
          <w:numId w:val="3"/>
        </w:numPr>
      </w:pPr>
      <w:r w:rsidRPr="00A30D61">
        <w:t>Zmienność bardzo mała (</w:t>
      </w:r>
      <m:oMath>
        <m:r>
          <w:rPr>
            <w:rFonts w:ascii="Cambria Math" w:hAnsi="Cambria Math"/>
          </w:rPr>
          <m:t>v&lt;10%</m:t>
        </m:r>
      </m:oMath>
      <w:r w:rsidRPr="00A30D61">
        <w:t xml:space="preserve">): Cechy z tego przedziału charakteryzują się niemal identycznym poziomem we wszystkich województwach. Ze względu na brak zdolności dyskryminacyjnych (nie różnicują obiektów), zmienne takie </w:t>
      </w:r>
      <w:r w:rsidRPr="00A30D61">
        <w:lastRenderedPageBreak/>
        <w:t>powinny być potencjalnie eliminowane z dalszego postępowania taksonomicznego.</w:t>
      </w:r>
    </w:p>
    <w:p w14:paraId="3E5DA8D2" w14:textId="5468662E" w:rsidR="00A30D61" w:rsidRDefault="00A30D61" w:rsidP="00A30D61">
      <w:pPr>
        <w:pStyle w:val="ListParagraph"/>
        <w:numPr>
          <w:ilvl w:val="0"/>
          <w:numId w:val="3"/>
        </w:numPr>
      </w:pPr>
      <w:r w:rsidRPr="00A30D61">
        <w:t>Zmienność mała (</w:t>
      </w:r>
      <m:oMath>
        <m:r>
          <w:rPr>
            <w:rFonts w:ascii="Cambria Math" w:hAnsi="Cambria Math"/>
          </w:rPr>
          <m:t>10%≤v&lt;25%</m:t>
        </m:r>
      </m:oMath>
      <w:r w:rsidRPr="00A30D61">
        <w:t>): Wskazuje na stabilny i relatywnie wyrównany poziom zjawiska w skali kraju, z nieznacznymi tylko odchyleniami między regionami.</w:t>
      </w:r>
    </w:p>
    <w:p w14:paraId="0466C477" w14:textId="23A6EDE3" w:rsidR="00A30D61" w:rsidRDefault="00A30D61" w:rsidP="00A30D61">
      <w:pPr>
        <w:pStyle w:val="ListParagraph"/>
        <w:numPr>
          <w:ilvl w:val="0"/>
          <w:numId w:val="3"/>
        </w:numPr>
      </w:pPr>
      <w:r w:rsidRPr="00A30D61">
        <w:t>Zmienność umiarkowana (</w:t>
      </w:r>
      <m:oMath>
        <m:r>
          <w:rPr>
            <w:rFonts w:ascii="Cambria Math" w:hAnsi="Cambria Math"/>
          </w:rPr>
          <m:t>25%≤v&lt;50%</m:t>
        </m:r>
      </m:oMath>
      <w:r w:rsidRPr="00A30D61">
        <w:t>): To najbardziej pożądany statystycznie przedział. Sygnalizuje on istnienie wyraźnych, ale naturalnych dysproporcji regionalnych, stanowiąc doskonałą bazę dla metod porządkowania liniowego i analizy skupień.</w:t>
      </w:r>
    </w:p>
    <w:p w14:paraId="0B1B7137" w14:textId="0F833D71" w:rsidR="00A30D61" w:rsidRDefault="00A30D61" w:rsidP="00A30D61">
      <w:pPr>
        <w:pStyle w:val="ListParagraph"/>
        <w:numPr>
          <w:ilvl w:val="0"/>
          <w:numId w:val="3"/>
        </w:numPr>
      </w:pPr>
      <w:r w:rsidRPr="00A30D61">
        <w:t>Zmienność duża (</w:t>
      </w:r>
      <m:oMath>
        <m:r>
          <w:rPr>
            <w:rFonts w:ascii="Cambria Math" w:hAnsi="Cambria Math"/>
          </w:rPr>
          <m:t>50%≤v&lt;75%</m:t>
        </m:r>
      </m:oMath>
      <w:r w:rsidRPr="00A30D61">
        <w:t>): Świadczy o głębokim rozwarstwieniu między województwami. Wartości tych zmiennych w poszczególnych regionach mogą różnić się nawet kilkukrotnie.</w:t>
      </w:r>
    </w:p>
    <w:p w14:paraId="0B30826B" w14:textId="388C0390" w:rsidR="00A30D61" w:rsidRDefault="00A30D61" w:rsidP="00A30D61">
      <w:pPr>
        <w:pStyle w:val="ListParagraph"/>
        <w:numPr>
          <w:ilvl w:val="0"/>
          <w:numId w:val="3"/>
        </w:numPr>
      </w:pPr>
      <w:r w:rsidRPr="00A30D61">
        <w:t>Zmienność bardzo duża (</w:t>
      </w:r>
      <m:oMath>
        <m:r>
          <w:rPr>
            <w:rFonts w:ascii="Cambria Math" w:hAnsi="Cambria Math"/>
          </w:rPr>
          <m:t>v≥75%</m:t>
        </m:r>
      </m:oMath>
      <w:r w:rsidRPr="00A30D61">
        <w:t xml:space="preserve">): Oznacza występowanie ekstremalnych dysproporcji. Tak wysoki współczynnik jest zazwyczaj generowany przez obecność opisanych wcześniej silnych obserwacji </w:t>
      </w:r>
      <w:r>
        <w:t>nietypowych</w:t>
      </w:r>
      <w:r w:rsidRPr="00A30D61">
        <w:t>, którzy całkowicie dystansują resztę kraju.</w:t>
      </w:r>
    </w:p>
    <w:p w14:paraId="67FDD845" w14:textId="77777777" w:rsidR="001A562E" w:rsidRDefault="00FA1CEB" w:rsidP="001A562E">
      <w:pPr>
        <w:keepNext/>
        <w:jc w:val="center"/>
      </w:pPr>
      <w:r w:rsidRPr="00FA1CEB">
        <w:drawing>
          <wp:inline distT="0" distB="0" distL="0" distR="0" wp14:anchorId="767262E9" wp14:editId="2ADB49A6">
            <wp:extent cx="5760720" cy="3947160"/>
            <wp:effectExtent l="0" t="0" r="0" b="0"/>
            <wp:docPr id="75496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4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C04D" w14:textId="72373EB0" w:rsidR="00FA1CEB" w:rsidRDefault="001A562E" w:rsidP="001A562E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90FD7">
        <w:rPr>
          <w:noProof/>
        </w:rPr>
        <w:t>2</w:t>
      </w:r>
      <w:r>
        <w:fldChar w:fldCharType="end"/>
      </w:r>
      <w:r>
        <w:t xml:space="preserve"> Histogram zmiennych o dużej zmienności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2"/>
        <w:gridCol w:w="4580"/>
      </w:tblGrid>
      <w:tr w:rsidR="00FA1CEB" w14:paraId="7F719E5D" w14:textId="77777777" w:rsidTr="001A562E">
        <w:trPr>
          <w:jc w:val="center"/>
        </w:trPr>
        <w:tc>
          <w:tcPr>
            <w:tcW w:w="4531" w:type="dxa"/>
          </w:tcPr>
          <w:p w14:paraId="41D45287" w14:textId="074E7285" w:rsidR="00FA1CEB" w:rsidRDefault="0048379B" w:rsidP="00FA1CEB">
            <w:r>
              <w:rPr>
                <w:noProof/>
              </w:rPr>
              <w:lastRenderedPageBreak/>
              <w:drawing>
                <wp:inline distT="0" distB="0" distL="0" distR="0" wp14:anchorId="0898E3E2" wp14:editId="31442581">
                  <wp:extent cx="2794044" cy="2004060"/>
                  <wp:effectExtent l="0" t="0" r="6350" b="0"/>
                  <wp:docPr id="1948333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919" cy="20111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96EEC73" w14:textId="6F5DD4B7" w:rsidR="00FA1CEB" w:rsidRDefault="0048379B" w:rsidP="00FA1CEB">
            <w:r>
              <w:rPr>
                <w:noProof/>
              </w:rPr>
              <w:drawing>
                <wp:inline distT="0" distB="0" distL="0" distR="0" wp14:anchorId="324C9949" wp14:editId="71BAC3F5">
                  <wp:extent cx="2793348" cy="1988820"/>
                  <wp:effectExtent l="0" t="0" r="7620" b="0"/>
                  <wp:docPr id="2762314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857" cy="2001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CEB" w14:paraId="1C8338BD" w14:textId="77777777" w:rsidTr="001A562E">
        <w:trPr>
          <w:jc w:val="center"/>
        </w:trPr>
        <w:tc>
          <w:tcPr>
            <w:tcW w:w="4531" w:type="dxa"/>
          </w:tcPr>
          <w:p w14:paraId="44D54487" w14:textId="68409FFA" w:rsidR="00FA1CEB" w:rsidRDefault="0048379B" w:rsidP="00FA1CEB">
            <w:r>
              <w:rPr>
                <w:noProof/>
              </w:rPr>
              <w:drawing>
                <wp:inline distT="0" distB="0" distL="0" distR="0" wp14:anchorId="5451FC88" wp14:editId="64A0D210">
                  <wp:extent cx="2739834" cy="1950720"/>
                  <wp:effectExtent l="0" t="0" r="3810" b="0"/>
                  <wp:docPr id="13693854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8147" cy="19566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4B2DADD" w14:textId="041CC368" w:rsidR="00FA1CEB" w:rsidRDefault="0048379B" w:rsidP="0048379B">
            <w:pPr>
              <w:keepNext/>
            </w:pPr>
            <w:r>
              <w:rPr>
                <w:noProof/>
              </w:rPr>
              <w:drawing>
                <wp:inline distT="0" distB="0" distL="0" distR="0" wp14:anchorId="4831E73C" wp14:editId="0098E727">
                  <wp:extent cx="2850498" cy="1987550"/>
                  <wp:effectExtent l="0" t="0" r="7620" b="0"/>
                  <wp:docPr id="21011128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718" cy="19946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E6B92" w14:textId="0920512D" w:rsidR="00FA1CEB" w:rsidRDefault="0048379B" w:rsidP="001A562E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90FD7">
        <w:rPr>
          <w:noProof/>
        </w:rPr>
        <w:t>3</w:t>
      </w:r>
      <w:r>
        <w:fldChar w:fldCharType="end"/>
      </w:r>
      <w:r>
        <w:t xml:space="preserve"> Wizualizacja przedstawiająca zmienność</w:t>
      </w:r>
    </w:p>
    <w:p w14:paraId="5A1D8FF8" w14:textId="61D9C2EF" w:rsidR="001A562E" w:rsidRDefault="004F3D16" w:rsidP="001A562E">
      <w:r>
        <w:t>Zmienne wykazujące się największą zmiennością wymienione zostały w tabeli 6.</w:t>
      </w:r>
    </w:p>
    <w:p w14:paraId="2F0BAFBF" w14:textId="60813322" w:rsidR="004F3D16" w:rsidRDefault="004F3D16" w:rsidP="004F3D16">
      <w:pPr>
        <w:pStyle w:val="Caption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790FD7">
        <w:rPr>
          <w:noProof/>
        </w:rPr>
        <w:t>6</w:t>
      </w:r>
      <w:r>
        <w:fldChar w:fldCharType="end"/>
      </w:r>
      <w:r>
        <w:t xml:space="preserve"> Zmienne cechujące się dużą zmiennością powyżej 50%</w:t>
      </w:r>
    </w:p>
    <w:p w14:paraId="0AECD43A" w14:textId="29DD078B" w:rsidR="004F3D16" w:rsidRDefault="004F3D16" w:rsidP="004F3D16">
      <w:pPr>
        <w:jc w:val="center"/>
      </w:pPr>
      <w:r w:rsidRPr="004F3D16">
        <w:drawing>
          <wp:inline distT="0" distB="0" distL="0" distR="0" wp14:anchorId="3A677C28" wp14:editId="3704B110">
            <wp:extent cx="5760720" cy="704215"/>
            <wp:effectExtent l="0" t="0" r="0" b="635"/>
            <wp:docPr id="146062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0A82" w14:textId="1DEE1DF7" w:rsidR="004F3D16" w:rsidRDefault="004F3D16" w:rsidP="004F3D16">
      <w:r>
        <w:t>Wszystkie zmienne zaliczone do grupy „turystyka” charakteryzują się dużą zmiennością, co dowodzi, że pod względem atrakcyjności i infrastruktury turystycznej Polska jest krajem wyjątkowo zróżnicowanym regionalnie. Niekwestionowanym liderem w tym obszarze okazuje się województwo zachodniopomorskie, które ze względu na swój nadmorski charakter skupia największy ruch turystyczny.</w:t>
      </w:r>
    </w:p>
    <w:p w14:paraId="05F42C89" w14:textId="035D3141" w:rsidR="004F3D16" w:rsidRDefault="004F3D16" w:rsidP="004F3D16">
      <w:r>
        <w:t>Pewnym zaskoczeniem na pierwszy rzut oka może być fakt, że województwo mazowieckie – mimo obecności stolicy państwa i generowania ogromnego ruchu biznesowego oraz kulturalnego – nie notuje wysokich wartości w tej grupie zmiennych. Zjawisko to ma jednak głębokie uzasadnienie strukturalne. Ponieważ wszystkie analizowane wskaźniki zostały przeliczone per capita</w:t>
      </w:r>
      <w:r>
        <w:t xml:space="preserve">, </w:t>
      </w:r>
      <w:r>
        <w:t>w odniesieniu do liczby stałych mieszkańców, potężna baza demograficzna Mazowsza naturalnie „wygasza” i relatywizuje surowe dane dotyczące liczby turystów czy miejsc noclegowych. Ponadto turystyka na Mazowszu ma charakter głównie krótkookresowy</w:t>
      </w:r>
      <w:r>
        <w:t xml:space="preserve">, </w:t>
      </w:r>
      <w:r>
        <w:t xml:space="preserve">biznesowy i weekendowy, podczas gdy regiony typowo wypoczynkowe, takie jak pas nadmorski, generują znacznie </w:t>
      </w:r>
      <w:r>
        <w:lastRenderedPageBreak/>
        <w:t>dłuższe i bardziej masowe pobyty, co bezpośrednio przekłada się na wyższe wartości wskaźników natężenia.</w:t>
      </w:r>
    </w:p>
    <w:p w14:paraId="06B8F94F" w14:textId="77777777" w:rsidR="00B922BB" w:rsidRDefault="004F3D16" w:rsidP="00B922BB">
      <w:pPr>
        <w:keepNext/>
      </w:pPr>
      <w:r>
        <w:rPr>
          <w:noProof/>
        </w:rPr>
        <w:drawing>
          <wp:inline distT="0" distB="0" distL="0" distR="0" wp14:anchorId="5B1775D0" wp14:editId="60ED1584">
            <wp:extent cx="5760720" cy="3369310"/>
            <wp:effectExtent l="0" t="0" r="0" b="2540"/>
            <wp:docPr id="1321422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5916" w14:textId="4EE42597" w:rsidR="004F3D16" w:rsidRDefault="00B922BB" w:rsidP="00B922BB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790FD7">
        <w:rPr>
          <w:noProof/>
        </w:rPr>
        <w:t>4</w:t>
      </w:r>
      <w:r>
        <w:fldChar w:fldCharType="end"/>
      </w:r>
      <w:r>
        <w:t xml:space="preserve"> Wykres syntetyczny, podsumowujący dotychczasowe rozważania</w:t>
      </w:r>
    </w:p>
    <w:p w14:paraId="1C4FEEE3" w14:textId="086C6764" w:rsidR="004F3D16" w:rsidRDefault="00B922BB" w:rsidP="004F3D16">
      <w:r w:rsidRPr="00B922BB">
        <w:t xml:space="preserve">Na rysunku X przedstawiono wykres syntetyczny, który zestawia wszystkie analizowane zmienne w ramach jednej przestrzeni badawczej. Wyraźnie widać, że podczas gdy większość cech charakteryzuje się stabilnymi i umiarkowanymi parametrami, część wskaźników drastycznie od nich odstaje. Oznacza to, że w badanym zbiorze mamy zarówno zmienne będące silnymi determinantami nierówności społeczno-gospodarczych, jak i takie, które te różnice wygładzają. Z punktu widzenia metodologicznego jest to sytuacja </w:t>
      </w:r>
      <w:r>
        <w:t xml:space="preserve">korzystna, ponieważ </w:t>
      </w:r>
      <w:r w:rsidRPr="00B922BB">
        <w:t>wysoka wewnętrzna różnorodność danych potwierdza, że zbiór jest kompletny i pozwala na efektywne zastosowanie szerokiej gamy zaawansowanych metod analizy wiel</w:t>
      </w:r>
      <w:r>
        <w:t>o</w:t>
      </w:r>
      <w:r w:rsidRPr="00B922BB">
        <w:t>wymiarowej w kolejnych rozdziałach pracy.</w:t>
      </w:r>
    </w:p>
    <w:p w14:paraId="5FD9B953" w14:textId="77777777" w:rsidR="00B922BB" w:rsidRDefault="00B922BB" w:rsidP="004F3D16"/>
    <w:p w14:paraId="3D12AD2D" w14:textId="15B73DF7" w:rsidR="00B922BB" w:rsidRDefault="00B922BB" w:rsidP="00245ED3">
      <w:pPr>
        <w:pStyle w:val="Heading2"/>
      </w:pPr>
      <w:r>
        <w:t>Analiza korelacji</w:t>
      </w:r>
    </w:p>
    <w:p w14:paraId="34A4D750" w14:textId="77777777" w:rsidR="00B922BB" w:rsidRDefault="00B922BB" w:rsidP="004F3D16"/>
    <w:p w14:paraId="3AA83B01" w14:textId="77777777" w:rsidR="00790FD7" w:rsidRDefault="00B922BB" w:rsidP="00790FD7">
      <w:pPr>
        <w:keepNext/>
      </w:pPr>
      <w:r w:rsidRPr="00B922BB">
        <w:lastRenderedPageBreak/>
        <w:drawing>
          <wp:inline distT="0" distB="0" distL="0" distR="0" wp14:anchorId="319FA603" wp14:editId="65A215DD">
            <wp:extent cx="5760720" cy="5212715"/>
            <wp:effectExtent l="0" t="0" r="0" b="6985"/>
            <wp:docPr id="192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B98" w14:textId="10D68012" w:rsidR="00B922BB" w:rsidRDefault="00790FD7" w:rsidP="00790FD7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Mapa ciepła przedstawiająca korelacje między zmiennymi w zbiorze</w:t>
      </w:r>
    </w:p>
    <w:p w14:paraId="0516B268" w14:textId="77777777" w:rsidR="00790FD7" w:rsidRDefault="00B922BB" w:rsidP="00790FD7">
      <w:pPr>
        <w:keepNext/>
      </w:pPr>
      <w:r>
        <w:rPr>
          <w:noProof/>
        </w:rPr>
        <w:drawing>
          <wp:inline distT="0" distB="0" distL="0" distR="0" wp14:anchorId="63B4DB4A" wp14:editId="36DAB5F1">
            <wp:extent cx="5760720" cy="2515235"/>
            <wp:effectExtent l="0" t="0" r="0" b="0"/>
            <wp:docPr id="1868396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639EE" w14:textId="36ECA104" w:rsidR="00B922BB" w:rsidRDefault="00790FD7" w:rsidP="00790FD7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Wykres przedstawiający 25 największych korelacji</w:t>
      </w:r>
    </w:p>
    <w:p w14:paraId="516D8E17" w14:textId="77777777" w:rsidR="00B922BB" w:rsidRDefault="00B922BB" w:rsidP="00790FD7">
      <w:pPr>
        <w:jc w:val="center"/>
      </w:pPr>
    </w:p>
    <w:p w14:paraId="56DFE3AF" w14:textId="77777777" w:rsidR="00790FD7" w:rsidRDefault="00245ED3" w:rsidP="00790FD7">
      <w:pPr>
        <w:keepNext/>
      </w:pPr>
      <w:r>
        <w:rPr>
          <w:noProof/>
        </w:rPr>
        <w:lastRenderedPageBreak/>
        <w:drawing>
          <wp:inline distT="0" distB="0" distL="0" distR="0" wp14:anchorId="319C77F4" wp14:editId="68E522B6">
            <wp:extent cx="5318760" cy="5981700"/>
            <wp:effectExtent l="0" t="0" r="0" b="0"/>
            <wp:docPr id="1493360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D6B3" w14:textId="6D7652D0" w:rsidR="00B922BB" w:rsidRDefault="00790FD7" w:rsidP="00790FD7">
      <w:pPr>
        <w:pStyle w:val="Caption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Wykres rozrzutu przedstawiający relacje między 25 najbardziej skorelowanymi zmiennymi</w:t>
      </w:r>
    </w:p>
    <w:p w14:paraId="39AF25B2" w14:textId="3F104D60" w:rsidR="00790FD7" w:rsidRDefault="00790FD7" w:rsidP="00790FD7">
      <w:pPr>
        <w:pStyle w:val="Caption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Zestawienie opisów 25 najbardziej skorelowanych ze sobą zmiennych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500"/>
        <w:gridCol w:w="4146"/>
      </w:tblGrid>
      <w:tr w:rsidR="00790FD7" w:rsidRPr="00790FD7" w14:paraId="5ACC56AE" w14:textId="77777777" w:rsidTr="00790FD7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E7EC4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DBF9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OPIS CECHY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D73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OPIS CECHY 2</w:t>
            </w:r>
          </w:p>
        </w:tc>
      </w:tr>
      <w:tr w:rsidR="00790FD7" w:rsidRPr="00790FD7" w14:paraId="733BE374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CC83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x45 - x46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A928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miejsca noclegowe na 1000 ludności w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6DE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udzielone noclegi ogółem styczeń-grudzień na 10 ludności w 2024</w:t>
            </w:r>
          </w:p>
        </w:tc>
      </w:tr>
      <w:tr w:rsidR="00790FD7" w:rsidRPr="00790FD7" w14:paraId="4BD5907B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C87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x11 - x13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513E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pkb na osobę w 2023 w 1000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8D94F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</w:tr>
      <w:tr w:rsidR="00790FD7" w:rsidRPr="00790FD7" w14:paraId="14DFDC7D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494E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lastRenderedPageBreak/>
              <w:t>x12 - x14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248F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podmioty wpisane do rejestru REGON na 1 tys. Ludności –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1615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jednostki nowo zarejestrowane w rejestrze REGON w roku 2024 na 10 tys. Ludności</w:t>
            </w:r>
          </w:p>
        </w:tc>
      </w:tr>
      <w:tr w:rsidR="00790FD7" w:rsidRPr="00790FD7" w14:paraId="53C75DE8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A5C6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x13 - x27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058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C61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nakłady inwestycyjne w przedsiębiorstwach na 1 mieszkańca w 2024 w setkach zł</w:t>
            </w:r>
          </w:p>
        </w:tc>
      </w:tr>
      <w:tr w:rsidR="00790FD7" w:rsidRPr="00790FD7" w14:paraId="064C8EAD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5E0E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x11 - x27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71194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pkb na osobę w 2023 w 1000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5A7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nakłady inwestycyjne w przedsiębiorstwach na 1 mieszkańca w 2024 w setkach zł</w:t>
            </w:r>
          </w:p>
        </w:tc>
      </w:tr>
      <w:tr w:rsidR="00790FD7" w:rsidRPr="00790FD7" w14:paraId="0E947842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2C5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x19 - x20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49107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kilometry dróg publicznych o nawierzchni twardej na 100 km^2 - 2024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C7796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(przystanki autobusowe (z trolejbusowymi) i tramwajowe, przystanki wspólne dla tramwajów i autobusów) na 100km^2 w 2024</w:t>
            </w:r>
          </w:p>
        </w:tc>
      </w:tr>
      <w:tr w:rsidR="00790FD7" w:rsidRPr="00790FD7" w14:paraId="60E84850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296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x18 - x19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7149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kilometry dróg publicznych ogółem na 100 km^2 - 2024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F1E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kilometry dróg publicznych o nawierzchni twardej na 100 km^2 - 2024</w:t>
            </w:r>
          </w:p>
        </w:tc>
      </w:tr>
      <w:tr w:rsidR="00790FD7" w:rsidRPr="00790FD7" w14:paraId="0A976A23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FD67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x53 - x56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8382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odsetek ludności w wieku produkcyjnym - 2021 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F56E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Współczynnik obciążenia demograficznego (liczba osób w wieku nieprodukcyjnym na 100 osób w wieku produkcyjnym - 2024</w:t>
            </w:r>
          </w:p>
        </w:tc>
      </w:tr>
      <w:tr w:rsidR="00790FD7" w:rsidRPr="00790FD7" w14:paraId="500A9422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66C7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x53 - x55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6C49F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odsetek ludności w wieku produkcyjnym - 2021 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E9FE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Współczynnik obciążenia demograficznego (liczba osób w wieku nieprodukcyjnym na 100 osób w wieku produkcyjnym - 2024</w:t>
            </w:r>
          </w:p>
        </w:tc>
      </w:tr>
      <w:tr w:rsidR="00790FD7" w:rsidRPr="00790FD7" w14:paraId="1EC02E19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B48B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x06 - x14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0A5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saldo migracji stałej w % rok do roku - 2024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ACC0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jednostki nowo zarejestrowane w rejestrze REGON w roku 2024 na 10 tys. Ludności</w:t>
            </w:r>
          </w:p>
        </w:tc>
      </w:tr>
      <w:tr w:rsidR="00790FD7" w:rsidRPr="00790FD7" w14:paraId="51D4621E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419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x02 - x51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DC6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wskaznik urbanizacji 2021 - spis powszechny - ile osob % mieszka w miastach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1FA3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zasoby mieszkaniowe gim komunalne 2024 na 10,000 mieszkancow</w:t>
            </w:r>
          </w:p>
        </w:tc>
      </w:tr>
      <w:tr w:rsidR="00790FD7" w:rsidRPr="00790FD7" w14:paraId="3E443E74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F1B0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x11 - x15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D02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pkb na osobę w 2023 w 1000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5E1C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Przeciętne miesięczne wynagrodzenie brutto w 2024 w setkach zł</w:t>
            </w:r>
          </w:p>
        </w:tc>
      </w:tr>
      <w:tr w:rsidR="00790FD7" w:rsidRPr="00790FD7" w14:paraId="30A4F510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BED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x15 - x54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D149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Przeciętne miesięczne wynagrodzenie brutto w 2024 w setkach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CA8B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odsetek ludności z wykształceniem wyższym. 2021 sp</w:t>
            </w:r>
          </w:p>
        </w:tc>
      </w:tr>
      <w:tr w:rsidR="00790FD7" w:rsidRPr="00790FD7" w14:paraId="19B70499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33F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x13 - x15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4E3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B37A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Przeciętne miesięczne wynagrodzenie brutto w 2024 w setkach zł</w:t>
            </w:r>
          </w:p>
        </w:tc>
      </w:tr>
      <w:tr w:rsidR="00790FD7" w:rsidRPr="00790FD7" w14:paraId="3F71DC1A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1AAE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lastRenderedPageBreak/>
              <w:t>x06 - x12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486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saldo migracji stałej w % rok do roku - 2024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2E73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podmioty wpisane do rejestru REGON na 1 tys. Ludności – 2024</w:t>
            </w:r>
          </w:p>
        </w:tc>
      </w:tr>
      <w:tr w:rsidR="00790FD7" w:rsidRPr="00790FD7" w14:paraId="7D6D8225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A1B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x18 - x31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F1BE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kilometry dróg publicznych ogółem na 100 km^2 - 2024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FC2F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wydatki budżetów gmin i miast na prawach powiatu na Ochrona powietrza atmosferycznego i klimatu na 1 mieszkańca w 2024 w setkach zł</w:t>
            </w:r>
          </w:p>
        </w:tc>
      </w:tr>
      <w:tr w:rsidR="00790FD7" w:rsidRPr="00790FD7" w14:paraId="7772BC91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B50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x38 - x39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F967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Lekarze pracujący bezpośrednio z pacjentem według województw w przeliczeniu na 10 tys. Mieszkańców – stan w dniu 31 grudnia 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98A5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Lekarze dentyści pracujący bezpośrednio z pacjentem według województw – na 10 tys Mieszkańców – stan 31 grudnia 2023</w:t>
            </w:r>
          </w:p>
        </w:tc>
      </w:tr>
      <w:tr w:rsidR="00790FD7" w:rsidRPr="00790FD7" w14:paraId="291B4C19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0F0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x01 - x19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30950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gęstość zaludnienie (os / km2) - 2021 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269D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kilometry dróg publicznych o nawierzchni twardej na 100 km^2 - 2024</w:t>
            </w:r>
          </w:p>
        </w:tc>
      </w:tr>
      <w:tr w:rsidR="00790FD7" w:rsidRPr="00790FD7" w14:paraId="07B61DB0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26B0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x13 - x28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FEBFB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BEF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WYDATKI BUDŻETÓW GMIN I MIAST NA PRAWACH POWIATU na 1 mieszkańca w 2024 w setkach zł</w:t>
            </w:r>
          </w:p>
        </w:tc>
      </w:tr>
      <w:tr w:rsidR="00790FD7" w:rsidRPr="00790FD7" w14:paraId="12C46187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9F68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x11 - x28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5B0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pkb na osobę w 2023 w 1000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29E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WYDATKI BUDŻETÓW GMIN I MIAST NA PRAWACH POWIATU na 1 mieszkańca w 2024 w setkach zł</w:t>
            </w:r>
          </w:p>
        </w:tc>
      </w:tr>
      <w:tr w:rsidR="00790FD7" w:rsidRPr="00790FD7" w14:paraId="346242EA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21C8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x12 - x13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2AFC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podmioty wpisane do rejestru REGON na 1 tys. Ludności – 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F2384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</w:tr>
      <w:tr w:rsidR="00790FD7" w:rsidRPr="00790FD7" w14:paraId="6DC2D1AE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DB2F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x15 - x28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5B31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Przeciętne miesięczne wynagrodzenie brutto w 2024 w setkach zł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145C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WYDATKI BUDŻETÓW GMIN I MIAST NA PRAWACH POWIATU na 1 mieszkańca w 2024 w setkach zł</w:t>
            </w:r>
          </w:p>
        </w:tc>
      </w:tr>
      <w:tr w:rsidR="00790FD7" w:rsidRPr="00790FD7" w14:paraId="75D21331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2F7C2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x13 - x54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B328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dochody budżetów województw na 1 mieszkańca w roku 2024 w dziesiątkach złotych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CBA9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odsetek ludności z wykształceniem wyższym. 2021 sp</w:t>
            </w:r>
          </w:p>
        </w:tc>
      </w:tr>
      <w:tr w:rsidR="00790FD7" w:rsidRPr="00790FD7" w14:paraId="5F849B57" w14:textId="77777777" w:rsidTr="00790FD7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74839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b/>
                <w:bCs/>
                <w:sz w:val="18"/>
                <w:szCs w:val="18"/>
              </w:rPr>
              <w:t>x14 - x22</w:t>
            </w:r>
          </w:p>
        </w:tc>
        <w:tc>
          <w:tcPr>
            <w:tcW w:w="3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6B47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jednostki nowo zarejestrowane w rejestrze REGON w roku 2024 na 10 tys. Ludności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261F3" w14:textId="77777777" w:rsidR="00790FD7" w:rsidRPr="00790FD7" w:rsidRDefault="00790FD7" w:rsidP="00790FD7">
            <w:pPr>
              <w:rPr>
                <w:sz w:val="18"/>
                <w:szCs w:val="18"/>
              </w:rPr>
            </w:pPr>
            <w:r w:rsidRPr="00790FD7">
              <w:rPr>
                <w:sz w:val="18"/>
                <w:szCs w:val="18"/>
              </w:rPr>
              <w:t>przewozy pasażerskie na 1 mieszkańca 2024</w:t>
            </w:r>
          </w:p>
        </w:tc>
      </w:tr>
    </w:tbl>
    <w:p w14:paraId="026CF8F0" w14:textId="77777777" w:rsidR="00790FD7" w:rsidRPr="00790FD7" w:rsidRDefault="00790FD7" w:rsidP="00790FD7"/>
    <w:sectPr w:rsidR="00790FD7" w:rsidRPr="00790FD7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5629" w14:textId="77777777" w:rsidR="004249E0" w:rsidRDefault="004249E0" w:rsidP="00C706AA">
      <w:pPr>
        <w:spacing w:after="0" w:line="240" w:lineRule="auto"/>
      </w:pPr>
      <w:r>
        <w:separator/>
      </w:r>
    </w:p>
  </w:endnote>
  <w:endnote w:type="continuationSeparator" w:id="0">
    <w:p w14:paraId="7D6FCB0E" w14:textId="77777777" w:rsidR="004249E0" w:rsidRDefault="004249E0" w:rsidP="00C7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5423636"/>
      <w:docPartObj>
        <w:docPartGallery w:val="Page Numbers (Bottom of Page)"/>
        <w:docPartUnique/>
      </w:docPartObj>
    </w:sdtPr>
    <w:sdtContent>
      <w:p w14:paraId="5D5FB35F" w14:textId="6CFB764D" w:rsidR="00C706AA" w:rsidRDefault="00C706A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08D27F" w14:textId="77777777" w:rsidR="00C706AA" w:rsidRDefault="00C706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E82D2" w14:textId="77777777" w:rsidR="004249E0" w:rsidRDefault="004249E0" w:rsidP="00C706AA">
      <w:pPr>
        <w:spacing w:after="0" w:line="240" w:lineRule="auto"/>
      </w:pPr>
      <w:r>
        <w:separator/>
      </w:r>
    </w:p>
  </w:footnote>
  <w:footnote w:type="continuationSeparator" w:id="0">
    <w:p w14:paraId="7B5F2779" w14:textId="77777777" w:rsidR="004249E0" w:rsidRDefault="004249E0" w:rsidP="00C70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832"/>
    <w:multiLevelType w:val="hybridMultilevel"/>
    <w:tmpl w:val="C09CC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236E0"/>
    <w:multiLevelType w:val="hybridMultilevel"/>
    <w:tmpl w:val="D7046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70B22"/>
    <w:multiLevelType w:val="hybridMultilevel"/>
    <w:tmpl w:val="9572D3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256463">
    <w:abstractNumId w:val="1"/>
  </w:num>
  <w:num w:numId="2" w16cid:durableId="1583372947">
    <w:abstractNumId w:val="0"/>
  </w:num>
  <w:num w:numId="3" w16cid:durableId="1815828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25"/>
    <w:rsid w:val="00046647"/>
    <w:rsid w:val="0006733C"/>
    <w:rsid w:val="000E6D41"/>
    <w:rsid w:val="001A562E"/>
    <w:rsid w:val="001F5625"/>
    <w:rsid w:val="00243D47"/>
    <w:rsid w:val="00245ED3"/>
    <w:rsid w:val="004249E0"/>
    <w:rsid w:val="00434D78"/>
    <w:rsid w:val="00480C5E"/>
    <w:rsid w:val="0048379B"/>
    <w:rsid w:val="004A756B"/>
    <w:rsid w:val="004B461C"/>
    <w:rsid w:val="004F3D16"/>
    <w:rsid w:val="00554734"/>
    <w:rsid w:val="005D4016"/>
    <w:rsid w:val="006D6ABE"/>
    <w:rsid w:val="007635AD"/>
    <w:rsid w:val="00790FD7"/>
    <w:rsid w:val="007E76BF"/>
    <w:rsid w:val="00810422"/>
    <w:rsid w:val="008570C2"/>
    <w:rsid w:val="00903E19"/>
    <w:rsid w:val="00920CEE"/>
    <w:rsid w:val="00A03DF2"/>
    <w:rsid w:val="00A30D61"/>
    <w:rsid w:val="00AA0542"/>
    <w:rsid w:val="00AF592E"/>
    <w:rsid w:val="00B468CC"/>
    <w:rsid w:val="00B922BB"/>
    <w:rsid w:val="00C2708C"/>
    <w:rsid w:val="00C702F3"/>
    <w:rsid w:val="00C706AA"/>
    <w:rsid w:val="00D76466"/>
    <w:rsid w:val="00DE2382"/>
    <w:rsid w:val="00DE6F07"/>
    <w:rsid w:val="00DF2DE8"/>
    <w:rsid w:val="00E603DA"/>
    <w:rsid w:val="00EB1205"/>
    <w:rsid w:val="00EB2850"/>
    <w:rsid w:val="00F26A6C"/>
    <w:rsid w:val="00F609E5"/>
    <w:rsid w:val="00FA1CEB"/>
    <w:rsid w:val="00FF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CA56"/>
  <w15:chartTrackingRefBased/>
  <w15:docId w15:val="{1577BECC-85D1-402F-98B6-B5EA7A54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2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603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706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AA"/>
  </w:style>
  <w:style w:type="paragraph" w:styleId="Footer">
    <w:name w:val="footer"/>
    <w:basedOn w:val="Normal"/>
    <w:link w:val="FooterChar"/>
    <w:uiPriority w:val="99"/>
    <w:unhideWhenUsed/>
    <w:rsid w:val="00C706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AA"/>
  </w:style>
  <w:style w:type="table" w:styleId="TableGrid">
    <w:name w:val="Table Grid"/>
    <w:basedOn w:val="TableNormal"/>
    <w:uiPriority w:val="39"/>
    <w:rsid w:val="00FA1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FB2DA-266D-4A34-B953-577190D76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15</Pages>
  <Words>3122</Words>
  <Characters>18732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Faltynowski</dc:creator>
  <cp:keywords/>
  <dc:description/>
  <cp:lastModifiedBy>Daniel Faltynowski</cp:lastModifiedBy>
  <cp:revision>16</cp:revision>
  <dcterms:created xsi:type="dcterms:W3CDTF">2026-06-06T18:28:00Z</dcterms:created>
  <dcterms:modified xsi:type="dcterms:W3CDTF">2026-06-11T14:30:00Z</dcterms:modified>
</cp:coreProperties>
</file>