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AE61" w14:textId="1EDDF5EE" w:rsidR="00844797" w:rsidRDefault="00D42F14" w:rsidP="00D42F14">
      <w:pPr>
        <w:pStyle w:val="Ttulo"/>
        <w:jc w:val="center"/>
        <w:rPr>
          <w:b/>
          <w:bCs/>
        </w:rPr>
      </w:pPr>
      <w:r>
        <w:rPr>
          <w:b/>
          <w:bCs/>
        </w:rPr>
        <w:t>Impacto de los Ciberataques en la Fiabilidad de los Sistemas Industriales</w:t>
      </w:r>
    </w:p>
    <w:p w14:paraId="11D2BEE2" w14:textId="4AE2C490" w:rsidR="00D42F14" w:rsidRDefault="00D42F14" w:rsidP="00092351">
      <w:pPr>
        <w:pStyle w:val="Subttulo"/>
        <w:jc w:val="center"/>
      </w:pPr>
    </w:p>
    <w:p w14:paraId="07D62AC1" w14:textId="4904F8AD" w:rsidR="00092351" w:rsidRPr="00092351" w:rsidRDefault="00092351" w:rsidP="00092351">
      <w:pPr>
        <w:jc w:val="center"/>
        <w:rPr>
          <w:b/>
          <w:bCs/>
        </w:rPr>
      </w:pPr>
      <w:r w:rsidRPr="00092351">
        <w:rPr>
          <w:b/>
          <w:bCs/>
        </w:rPr>
        <w:t>Daniel Flores de Francisco</w:t>
      </w:r>
    </w:p>
    <w:p w14:paraId="421E51EB" w14:textId="1FF8B1C7" w:rsidR="00092351" w:rsidRDefault="00092351" w:rsidP="00092351">
      <w:pPr>
        <w:jc w:val="center"/>
        <w:rPr>
          <w:b/>
          <w:bCs/>
        </w:rPr>
      </w:pPr>
      <w:r w:rsidRPr="00092351">
        <w:rPr>
          <w:b/>
          <w:bCs/>
        </w:rPr>
        <w:t>Consultor de Sistemas Informáticos | ISDEFE</w:t>
      </w:r>
    </w:p>
    <w:p w14:paraId="17B47487" w14:textId="4010F833" w:rsidR="00092351" w:rsidRDefault="00092351" w:rsidP="00092351">
      <w:pPr>
        <w:jc w:val="center"/>
        <w:rPr>
          <w:b/>
          <w:bCs/>
        </w:rPr>
      </w:pPr>
    </w:p>
    <w:p w14:paraId="4B7A18B6" w14:textId="77777777" w:rsidR="00092351" w:rsidRPr="00092351" w:rsidRDefault="00092351" w:rsidP="00092351">
      <w:pPr>
        <w:jc w:val="both"/>
        <w:rPr>
          <w:rFonts w:ascii="Calibri" w:hAnsi="Calibri" w:cs="Calibri"/>
        </w:rPr>
      </w:pPr>
      <w:r w:rsidRPr="00092351">
        <w:rPr>
          <w:rFonts w:ascii="Calibri" w:hAnsi="Calibri" w:cs="Calibri"/>
        </w:rPr>
        <w:t>En los entornos industriales actuales, caracterizados por un creciente nivel de digitalización e interconectividad, la exposición a amenazas de ciberseguridad ha aumentado de forma significativa. Este nuevo contexto introduce un factor adicional que puede afectar directamente a la fiabilidad de los activos industriales, tradicionalmente centrada en fallos físicos, operativos o humanos. La convergencia entre sistemas IT y OT ha ampliado la superficie de ataque, generando riesgos que pueden comprometer la disponibilidad y el correcto funcionamiento de las instalaciones.</w:t>
      </w:r>
    </w:p>
    <w:p w14:paraId="2612E033" w14:textId="346B1128" w:rsidR="00092351" w:rsidRPr="00092351" w:rsidRDefault="00092351" w:rsidP="00092351">
      <w:pPr>
        <w:jc w:val="both"/>
        <w:rPr>
          <w:rFonts w:ascii="Calibri" w:hAnsi="Calibri" w:cs="Calibri"/>
        </w:rPr>
      </w:pPr>
      <w:r w:rsidRPr="00092351">
        <w:rPr>
          <w:rFonts w:ascii="Calibri" w:hAnsi="Calibri" w:cs="Calibri"/>
        </w:rPr>
        <w:t xml:space="preserve">El objetivo de este trabajo es analizar de qué manera los ciberataques pueden impactar en la fiabilidad de los sistemas industriales, provocando desde fallos funcionales hasta degradaciones de rendimiento o paradas no planificadas. Se estudian distintos vectores de ataque sobre infraestructuras industriales, incluyendo sistemas SCADA, dispositivos </w:t>
      </w:r>
      <w:proofErr w:type="spellStart"/>
      <w:r w:rsidRPr="00092351">
        <w:rPr>
          <w:rFonts w:ascii="Calibri" w:hAnsi="Calibri" w:cs="Calibri"/>
        </w:rPr>
        <w:t>IoT</w:t>
      </w:r>
      <w:proofErr w:type="spellEnd"/>
      <w:r w:rsidRPr="00092351">
        <w:rPr>
          <w:rFonts w:ascii="Calibri" w:hAnsi="Calibri" w:cs="Calibri"/>
        </w:rPr>
        <w:t xml:space="preserve"> industriales y plataformas de monitorización, identificando su efecto sobre indicadores clave como la disponibilidad, el MTBF (Mean Time Between </w:t>
      </w:r>
      <w:proofErr w:type="spellStart"/>
      <w:r w:rsidRPr="00092351">
        <w:rPr>
          <w:rFonts w:ascii="Calibri" w:hAnsi="Calibri" w:cs="Calibri"/>
        </w:rPr>
        <w:t>Failures</w:t>
      </w:r>
      <w:proofErr w:type="spellEnd"/>
      <w:r w:rsidRPr="00092351">
        <w:rPr>
          <w:rFonts w:ascii="Calibri" w:hAnsi="Calibri" w:cs="Calibri"/>
        </w:rPr>
        <w:t>) y el coste del ciclo de vida de los activos.</w:t>
      </w:r>
    </w:p>
    <w:p w14:paraId="3D2FD573" w14:textId="77777777" w:rsidR="00092351" w:rsidRPr="00092351" w:rsidRDefault="00092351" w:rsidP="00092351">
      <w:pPr>
        <w:jc w:val="both"/>
        <w:rPr>
          <w:rFonts w:ascii="Calibri" w:hAnsi="Calibri" w:cs="Calibri"/>
        </w:rPr>
      </w:pPr>
      <w:r w:rsidRPr="00092351">
        <w:rPr>
          <w:rFonts w:ascii="Calibri" w:hAnsi="Calibri" w:cs="Calibri"/>
        </w:rPr>
        <w:t>La metodología propuesta se basa en la identificación de vulnerabilidades críticas y su integración dentro de herramientas clásicas de análisis de fiabilidad, como el Análisis de Modos y Efectos de Fallo (AMFE) y el Mantenimiento Centrado en la Fiabilidad (RCM). De este modo, se plantea un enfoque que incorpora el riesgo cibernético como una variable adicional en los procesos de evaluación y toma de decisiones en mantenimiento.</w:t>
      </w:r>
    </w:p>
    <w:p w14:paraId="6F1C7D35" w14:textId="77777777" w:rsidR="00092351" w:rsidRPr="00092351" w:rsidRDefault="00092351" w:rsidP="00092351">
      <w:pPr>
        <w:jc w:val="both"/>
        <w:rPr>
          <w:rFonts w:ascii="Calibri" w:hAnsi="Calibri" w:cs="Calibri"/>
        </w:rPr>
      </w:pPr>
      <w:r w:rsidRPr="00092351">
        <w:rPr>
          <w:rFonts w:ascii="Calibri" w:hAnsi="Calibri" w:cs="Calibri"/>
        </w:rPr>
        <w:t>Asimismo, se proponen diversas medidas de mitigación orientadas a mejorar la resiliencia operativa, entre las que se incluyen la segmentación de redes industriales, la implementación de sistemas de detección de anomalías en tiempo real, el refuerzo de políticas de acceso y la mejora de los protocolos de respuesta ante incidentes. Se analiza también el impacto económico asociado a la materialización de estos riesgos, así como los beneficios derivados de su gestión proactiva.</w:t>
      </w:r>
    </w:p>
    <w:p w14:paraId="089EB01F" w14:textId="32FC51B1" w:rsidR="00092351" w:rsidRPr="00092351" w:rsidRDefault="00092351" w:rsidP="00092351">
      <w:pPr>
        <w:jc w:val="both"/>
        <w:rPr>
          <w:rFonts w:ascii="Calibri" w:hAnsi="Calibri" w:cs="Calibri"/>
        </w:rPr>
      </w:pPr>
      <w:r w:rsidRPr="00092351">
        <w:rPr>
          <w:rFonts w:ascii="Calibri" w:hAnsi="Calibri" w:cs="Calibri"/>
        </w:rPr>
        <w:lastRenderedPageBreak/>
        <w:t>Como conclusión, se evidencia que la ciberseguridad constituye un elemento esencial para garantizar la fiabilidad en entornos industriales altamente digitalizados. Su integración efectiva en los modelos de mantenimiento y gestión de activos permite anticipar riesgos, reducir fallos no planificados y aumentar la disponibilidad, contribuyendo a una operación más segura, eficiente y resiliente.</w:t>
      </w:r>
    </w:p>
    <w:p w14:paraId="39FDA9B3" w14:textId="6AF45593" w:rsidR="00D42F14" w:rsidRPr="00D42F14" w:rsidRDefault="00D42F14" w:rsidP="00D42F14">
      <w:pPr>
        <w:pStyle w:val="Subttulo"/>
        <w:jc w:val="center"/>
      </w:pPr>
    </w:p>
    <w:sectPr w:rsidR="00D42F14" w:rsidRPr="00D42F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CC8"/>
    <w:rsid w:val="00092351"/>
    <w:rsid w:val="00802CC8"/>
    <w:rsid w:val="00844797"/>
    <w:rsid w:val="00BA332F"/>
    <w:rsid w:val="00CD5B28"/>
    <w:rsid w:val="00CF0EDA"/>
    <w:rsid w:val="00D42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5F08"/>
  <w15:chartTrackingRefBased/>
  <w15:docId w15:val="{513C6C4F-F786-4A6A-A280-6B0D03AAC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2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2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2C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2C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2C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2C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2C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2C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2C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2C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2C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2C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2C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2C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2C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2C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2C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2CC8"/>
    <w:rPr>
      <w:rFonts w:eastAsiaTheme="majorEastAsia" w:cstheme="majorBidi"/>
      <w:color w:val="272727" w:themeColor="text1" w:themeTint="D8"/>
    </w:rPr>
  </w:style>
  <w:style w:type="paragraph" w:styleId="Ttulo">
    <w:name w:val="Title"/>
    <w:basedOn w:val="Normal"/>
    <w:next w:val="Normal"/>
    <w:link w:val="TtuloCar"/>
    <w:uiPriority w:val="10"/>
    <w:qFormat/>
    <w:rsid w:val="00802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2C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2C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2C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2CC8"/>
    <w:pPr>
      <w:spacing w:before="160"/>
      <w:jc w:val="center"/>
    </w:pPr>
    <w:rPr>
      <w:i/>
      <w:iCs/>
      <w:color w:val="404040" w:themeColor="text1" w:themeTint="BF"/>
    </w:rPr>
  </w:style>
  <w:style w:type="character" w:customStyle="1" w:styleId="CitaCar">
    <w:name w:val="Cita Car"/>
    <w:basedOn w:val="Fuentedeprrafopredeter"/>
    <w:link w:val="Cita"/>
    <w:uiPriority w:val="29"/>
    <w:rsid w:val="00802CC8"/>
    <w:rPr>
      <w:i/>
      <w:iCs/>
      <w:color w:val="404040" w:themeColor="text1" w:themeTint="BF"/>
    </w:rPr>
  </w:style>
  <w:style w:type="paragraph" w:styleId="Prrafodelista">
    <w:name w:val="List Paragraph"/>
    <w:basedOn w:val="Normal"/>
    <w:uiPriority w:val="34"/>
    <w:qFormat/>
    <w:rsid w:val="00802CC8"/>
    <w:pPr>
      <w:ind w:left="720"/>
      <w:contextualSpacing/>
    </w:pPr>
  </w:style>
  <w:style w:type="character" w:styleId="nfasisintenso">
    <w:name w:val="Intense Emphasis"/>
    <w:basedOn w:val="Fuentedeprrafopredeter"/>
    <w:uiPriority w:val="21"/>
    <w:qFormat/>
    <w:rsid w:val="00802CC8"/>
    <w:rPr>
      <w:i/>
      <w:iCs/>
      <w:color w:val="0F4761" w:themeColor="accent1" w:themeShade="BF"/>
    </w:rPr>
  </w:style>
  <w:style w:type="paragraph" w:styleId="Citadestacada">
    <w:name w:val="Intense Quote"/>
    <w:basedOn w:val="Normal"/>
    <w:next w:val="Normal"/>
    <w:link w:val="CitadestacadaCar"/>
    <w:uiPriority w:val="30"/>
    <w:qFormat/>
    <w:rsid w:val="00802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2CC8"/>
    <w:rPr>
      <w:i/>
      <w:iCs/>
      <w:color w:val="0F4761" w:themeColor="accent1" w:themeShade="BF"/>
    </w:rPr>
  </w:style>
  <w:style w:type="character" w:styleId="Referenciaintensa">
    <w:name w:val="Intense Reference"/>
    <w:basedOn w:val="Fuentedeprrafopredeter"/>
    <w:uiPriority w:val="32"/>
    <w:qFormat/>
    <w:rsid w:val="00802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397</Words>
  <Characters>2186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Flores de Francisco</dc:creator>
  <cp:keywords/>
  <dc:description/>
  <cp:lastModifiedBy>Daniel Flores de Francisco</cp:lastModifiedBy>
  <cp:revision>2</cp:revision>
  <dcterms:created xsi:type="dcterms:W3CDTF">2026-06-26T10:42:00Z</dcterms:created>
  <dcterms:modified xsi:type="dcterms:W3CDTF">2026-06-26T10:59:00Z</dcterms:modified>
</cp:coreProperties>
</file>