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D4ED8"/>
          <w:spacing w:val="40"/>
          <w:sz w:val="18"/>
          <w:szCs w:val="18"/>
        </w:rPr>
        <w:t xml:space="preserve">MILESTONE 1  ·  TEAM PLAN</w:t>
      </w:r>
    </w:p>
    <w:p>
      <w:pPr>
        <w:spacing w:after="60"/>
      </w:pPr>
      <w:r>
        <w:rPr>
          <w:b/>
          <w:bCs/>
          <w:color w:val="1F2933"/>
          <w:sz w:val="40"/>
          <w:szCs w:val="40"/>
        </w:rPr>
        <w:t xml:space="preserve">Who does what, by when</w:t>
      </w:r>
    </w:p>
    <w:p>
      <w:pPr>
        <w:pBdr>
          <w:bottom w:val="single" w:color="E5E7EB" w:sz="6" w:space="10"/>
        </w:pBdr>
        <w:spacing w:after="160"/>
      </w:pPr>
      <w:r>
        <w:rPr>
          <w:color w:val="6B7280"/>
          <w:sz w:val="20"/>
          <w:szCs w:val="20"/>
        </w:rPr>
        <w:t xml:space="preserve">FEMA Assistance Prediction  ·  CAI 4105  ·  Report due Wed, Sep 30</w:t>
      </w:r>
    </w:p>
    <w:p>
      <w:pPr>
        <w:pStyle w:val="Heading2"/>
      </w:pPr>
      <w:r>
        <w:t xml:space="preserve">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160"/>
        <w:gridCol w:w="1200"/>
        <w:gridCol w:w="2000"/>
      </w:tblGrid>
      <w:tr>
        <w:trPr>
          <w:tblHeader/>
        </w:trPr>
        <w:tc>
          <w:tcPr>
            <w:tcW w:type="dxa" w:w="6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w:t>
            </w:r>
          </w:p>
        </w:tc>
        <w:tc>
          <w:tcPr>
            <w:tcW w:type="dxa" w:w="34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SECTION</w:t>
            </w:r>
          </w:p>
        </w:tc>
        <w:tc>
          <w:tcPr>
            <w:tcW w:type="dxa" w:w="21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OWNER</w:t>
            </w:r>
          </w:p>
        </w:tc>
        <w:tc>
          <w:tcPr>
            <w:tcW w:type="dxa" w:w="12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PAGES</w:t>
            </w:r>
          </w:p>
        </w:tc>
        <w:tc>
          <w:tcPr>
            <w:tcW w:type="dxa" w:w="20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POINTS</w:t>
            </w:r>
          </w:p>
        </w:tc>
      </w:tr>
      <w:tr>
        <w:tc>
          <w:tcPr>
            <w:tcW w:type="dxa" w:w="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2</w:t>
            </w:r>
          </w:p>
        </w:tc>
        <w:tc>
          <w:tcPr>
            <w:tcW w:type="dxa" w:w="34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Business Understanding</w:t>
            </w:r>
          </w:p>
        </w:tc>
        <w:tc>
          <w:tcPr>
            <w:tcW w:type="dxa" w:w="2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Mateo</w:t>
            </w:r>
          </w:p>
        </w:tc>
        <w:tc>
          <w:tcPr>
            <w:tcW w:type="dxa" w:w="1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2–3</w:t>
            </w:r>
          </w:p>
        </w:tc>
        <w:tc>
          <w:tcPr>
            <w:tcW w:type="dxa" w:w="2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5</w:t>
            </w:r>
          </w:p>
        </w:tc>
      </w:tr>
      <w:tr>
        <w:tc>
          <w:tcPr>
            <w:tcW w:type="dxa" w:w="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3</w:t>
            </w:r>
          </w:p>
        </w:tc>
        <w:tc>
          <w:tcPr>
            <w:tcW w:type="dxa" w:w="34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Data Understanding</w:t>
            </w:r>
          </w:p>
        </w:tc>
        <w:tc>
          <w:tcPr>
            <w:tcW w:type="dxa" w:w="2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Anthony</w:t>
            </w:r>
          </w:p>
        </w:tc>
        <w:tc>
          <w:tcPr>
            <w:tcW w:type="dxa" w:w="1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3–4</w:t>
            </w:r>
          </w:p>
        </w:tc>
        <w:tc>
          <w:tcPr>
            <w:tcW w:type="dxa" w:w="2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7</w:t>
            </w:r>
          </w:p>
        </w:tc>
      </w:tr>
      <w:tr>
        <w:tc>
          <w:tcPr>
            <w:tcW w:type="dxa" w:w="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4</w:t>
            </w:r>
          </w:p>
        </w:tc>
        <w:tc>
          <w:tcPr>
            <w:tcW w:type="dxa" w:w="34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Data Preparation Plan</w:t>
            </w:r>
          </w:p>
        </w:tc>
        <w:tc>
          <w:tcPr>
            <w:tcW w:type="dxa" w:w="2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Danny</w:t>
            </w:r>
          </w:p>
        </w:tc>
        <w:tc>
          <w:tcPr>
            <w:tcW w:type="dxa" w:w="1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2–3</w:t>
            </w:r>
          </w:p>
        </w:tc>
        <w:tc>
          <w:tcPr>
            <w:tcW w:type="dxa" w:w="2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3</w:t>
            </w:r>
          </w:p>
        </w:tc>
      </w:tr>
      <w:tr>
        <w:tc>
          <w:tcPr>
            <w:tcW w:type="dxa" w:w="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5</w:t>
            </w:r>
          </w:p>
        </w:tc>
        <w:tc>
          <w:tcPr>
            <w:tcW w:type="dxa" w:w="34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Modeling Approach</w:t>
            </w:r>
          </w:p>
        </w:tc>
        <w:tc>
          <w:tcPr>
            <w:tcW w:type="dxa" w:w="2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Danny</w:t>
            </w:r>
          </w:p>
        </w:tc>
        <w:tc>
          <w:tcPr>
            <w:tcW w:type="dxa" w:w="1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2–3</w:t>
            </w:r>
          </w:p>
        </w:tc>
        <w:tc>
          <w:tcPr>
            <w:tcW w:type="dxa" w:w="2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w:t>
            </w:r>
          </w:p>
        </w:tc>
      </w:tr>
      <w:tr>
        <w:tc>
          <w:tcPr>
            <w:tcW w:type="dxa" w:w="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6</w:t>
            </w:r>
          </w:p>
        </w:tc>
        <w:tc>
          <w:tcPr>
            <w:tcW w:type="dxa" w:w="34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Project Timeline</w:t>
            </w:r>
          </w:p>
        </w:tc>
        <w:tc>
          <w:tcPr>
            <w:tcW w:type="dxa" w:w="2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Together</w:t>
            </w:r>
          </w:p>
        </w:tc>
        <w:tc>
          <w:tcPr>
            <w:tcW w:type="dxa" w:w="1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1</w:t>
            </w:r>
          </w:p>
        </w:tc>
        <w:tc>
          <w:tcPr>
            <w:tcW w:type="dxa" w:w="2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w:t>
            </w:r>
          </w:p>
        </w:tc>
      </w:tr>
      <w:tr>
        <w:tc>
          <w:tcPr>
            <w:tcW w:type="dxa" w:w="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1</w:t>
            </w:r>
          </w:p>
        </w:tc>
        <w:tc>
          <w:tcPr>
            <w:tcW w:type="dxa" w:w="34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Executive Summary</w:t>
            </w:r>
          </w:p>
        </w:tc>
        <w:tc>
          <w:tcPr>
            <w:tcW w:type="dxa" w:w="2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b/>
                <w:bCs/>
                <w:sz w:val="19"/>
                <w:szCs w:val="19"/>
              </w:rPr>
              <w:t xml:space="preserve">Together, last</w:t>
            </w:r>
          </w:p>
        </w:tc>
        <w:tc>
          <w:tcPr>
            <w:tcW w:type="dxa" w:w="1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1</w:t>
            </w:r>
          </w:p>
        </w:tc>
        <w:tc>
          <w:tcPr>
            <w:tcW w:type="dxa" w:w="2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3 (whole report)</w:t>
            </w:r>
          </w:p>
        </w:tc>
      </w:tr>
    </w:tbl>
    <w:p>
      <w:pPr>
        <w:spacing w:after="80"/>
      </w:pPr>
    </w:p>
    <w:p>
      <w:pPr>
        <w:pStyle w:val="Heading2"/>
      </w:pPr>
      <w:r>
        <w:t xml:space="preserve">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WHEN</w:t>
            </w:r>
          </w:p>
        </w:tc>
        <w:tc>
          <w:tcPr>
            <w:tcW w:type="dxa" w:w="69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DONE BY THEN</w:t>
            </w:r>
          </w:p>
        </w:tc>
      </w:tr>
      <w:tr>
        <w:tc>
          <w:tcPr>
            <w:tcW w:type="dxa" w:w="24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Mon 9/28</w:t>
            </w:r>
            <w:r>
              <w:rPr>
                <w:sz w:val="19"/>
                <w:szCs w:val="19"/>
              </w:rPr>
              <w:t xml:space="preserve">, 11:59 PM</w:t>
            </w:r>
          </w:p>
        </w:tc>
        <w:tc>
          <w:tcPr>
            <w:tcW w:type="dxa" w:w="6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§2 (Mateo), §3 (Anthony), §4 and §5 (Danny) rewritten in your own words</w:t>
            </w:r>
          </w:p>
        </w:tc>
      </w:tr>
      <w:tr>
        <w:tc>
          <w:tcPr>
            <w:tcW w:type="dxa" w:w="24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Tue 9/29</w:t>
            </w:r>
            <w:r>
              <w:rPr>
                <w:sz w:val="19"/>
                <w:szCs w:val="19"/>
              </w:rPr>
              <w:t xml:space="preserve">, evening</w:t>
            </w:r>
          </w:p>
        </w:tc>
        <w:tc>
          <w:tcPr>
            <w:tcW w:type="dxa" w:w="6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Call: write §6 together, then the Executive Summary. Proofread once, export the PDF</w:t>
            </w:r>
          </w:p>
        </w:tc>
      </w:tr>
      <w:tr>
        <w:tc>
          <w:tcPr>
            <w:tcW w:type="dxa" w:w="24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b/>
                <w:bCs/>
                <w:sz w:val="19"/>
                <w:szCs w:val="19"/>
              </w:rPr>
              <w:t xml:space="preserve">Wed 9/30</w:t>
            </w:r>
          </w:p>
        </w:tc>
        <w:tc>
          <w:tcPr>
            <w:tcW w:type="dxa" w:w="6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Final check, zip, submit</w:t>
            </w:r>
          </w:p>
        </w:tc>
      </w:tr>
    </w:tbl>
    <w:p>
      <w:pPr>
        <w:spacing w:after="80"/>
      </w:pPr>
    </w:p>
    <w:p>
      <w:pPr>
        <w:pStyle w:val="Heading2"/>
      </w:pPr>
      <w:r>
        <w:t xml:space="preserve">Loose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rPr>
          <w:tblHeader/>
        </w:trPr>
        <w:tc>
          <w:tcPr>
            <w:tcW w:type="dxa" w:w="71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TASK</w:t>
            </w:r>
          </w:p>
        </w:tc>
        <w:tc>
          <w:tcPr>
            <w:tcW w:type="dxa" w:w="22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WHO</w:t>
            </w:r>
          </w:p>
        </w:tc>
      </w:tr>
      <w:tr>
        <w:tc>
          <w:tcPr>
            <w:tcW w:type="dxa" w:w="7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Team name and member names on the title line</w:t>
            </w:r>
          </w:p>
        </w:tc>
        <w:tc>
          <w:tcPr>
            <w:tcW w:type="dxa" w:w="2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Anthony</w:t>
            </w:r>
          </w:p>
        </w:tc>
      </w:tr>
      <w:tr>
        <w:tc>
          <w:tcPr>
            <w:tcW w:type="dxa" w:w="7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Confirm the §2.2 targets and the $700 assumption (§2.5)</w:t>
            </w:r>
          </w:p>
        </w:tc>
        <w:tc>
          <w:tcPr>
            <w:tcW w:type="dxa" w:w="2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Mateo</w:t>
            </w:r>
          </w:p>
        </w:tc>
      </w:tr>
      <w:tr>
        <w:tc>
          <w:tcPr>
            <w:tcW w:type="dxa" w:w="7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Final model list in §5.1 (add or cut k-NN, neural net)</w:t>
            </w:r>
          </w:p>
        </w:tc>
        <w:tc>
          <w:tcPr>
            <w:tcW w:type="dxa" w:w="2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Danny</w:t>
            </w:r>
          </w:p>
        </w:tc>
      </w:tr>
      <w:tr>
        <w:tc>
          <w:tcPr>
            <w:tcW w:type="dxa" w:w="7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Re-run the EDA notebook and check every number</w:t>
            </w:r>
          </w:p>
        </w:tc>
        <w:tc>
          <w:tcPr>
            <w:tcW w:type="dxa" w:w="2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Anthony</w:t>
            </w:r>
          </w:p>
        </w:tc>
      </w:tr>
      <w:tr>
        <w:tc>
          <w:tcPr>
            <w:tcW w:type="dxa" w:w="7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Log your AI use in </w:t>
            </w:r>
            <w:r>
              <w:rPr>
                <w:rFonts w:ascii="Consolas" w:cs="Consolas" w:eastAsia="Consolas" w:hAnsi="Consolas"/>
                <w:color w:val="374151"/>
                <w:sz w:val="19"/>
                <w:szCs w:val="19"/>
              </w:rPr>
              <w:t xml:space="preserve">docs/AI_USAGE.md</w:t>
            </w:r>
          </w:p>
        </w:tc>
        <w:tc>
          <w:tcPr>
            <w:tcW w:type="dxa" w:w="2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Everyone</w:t>
            </w:r>
          </w:p>
        </w:tc>
      </w:tr>
      <w:tr>
        <w:tc>
          <w:tcPr>
            <w:tcW w:type="dxa" w:w="7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Delete owner notes and leftover [TEAM] tags; export the PDF and notebook HTML; zip and submit</w:t>
            </w:r>
          </w:p>
        </w:tc>
        <w:tc>
          <w:tcPr>
            <w:tcW w:type="dxa" w:w="2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Tue call</w:t>
            </w:r>
          </w:p>
        </w:tc>
      </w:tr>
    </w:tbl>
    <w:p>
      <w:pPr>
        <w:spacing w:after="80"/>
      </w:pPr>
    </w:p>
    <w:p>
      <w:pPr>
        <w:pStyle w:val="Heading2"/>
      </w:pPr>
      <w:r>
        <w:t xml:space="preserve">Rules</w:t>
      </w:r>
    </w:p>
    <w:p>
      <w:pPr>
        <w:pStyle w:val="ListParagraph"/>
        <w:numPr>
          <w:ilvl w:val="0"/>
          <w:numId w:val="2"/>
        </w:numPr>
        <w:spacing w:after="60"/>
      </w:pPr>
      <w:r>
        <w:rPr>
          <w:b/>
          <w:bCs/>
        </w:rPr>
        <w:t xml:space="preserve">Only edit your own section.</w:t>
      </w:r>
      <w:r>
        <w:t xml:space="preserve"> For anyone else's, leave a comment.</w:t>
      </w:r>
    </w:p>
    <w:p>
      <w:pPr>
        <w:pStyle w:val="ListParagraph"/>
        <w:numPr>
          <w:ilvl w:val="0"/>
          <w:numId w:val="2"/>
        </w:numPr>
        <w:spacing w:after="60"/>
      </w:pPr>
      <w:r>
        <w:rPr>
          <w:b/>
          <w:bCs/>
        </w:rPr>
        <w:t xml:space="preserve">Rewrite it in your own words.</w:t>
      </w:r>
      <w:r>
        <w:t xml:space="preserve"> The draft is a starting point, and the course requires original work.</w:t>
      </w:r>
    </w:p>
    <w:p>
      <w:pPr>
        <w:pStyle w:val="ListParagraph"/>
        <w:numPr>
          <w:ilvl w:val="0"/>
          <w:numId w:val="2"/>
        </w:numPr>
        <w:spacing w:after="60"/>
      </w:pPr>
      <w:r>
        <w:rPr>
          <w:b/>
          <w:bCs/>
        </w:rPr>
        <w:t xml:space="preserve">Don't hand-edit numbers.</w:t>
      </w:r>
      <w:r>
        <w:t xml:space="preserve"> They come from the notebook. If one looks off, say so in the group chat.</w:t>
      </w:r>
    </w:p>
    <w:p>
      <w:pPr>
        <w:pStyle w:val="ListParagraph"/>
        <w:numPr>
          <w:ilvl w:val="0"/>
          <w:numId w:val="2"/>
        </w:numPr>
        <w:spacing w:after="60"/>
      </w:pPr>
      <w:r>
        <w:rPr>
          <w:b/>
          <w:bCs/>
        </w:rPr>
        <w:t xml:space="preserve">Keep every "ML takeaway" box.</w:t>
      </w:r>
      <w:r>
        <w:t xml:space="preserve"> They link findings to modeling decisions, which graders look for.</w:t>
      </w:r>
    </w:p>
    <w:p>
      <w:pPr>
        <w:pageBreakBefore/>
        <w:spacing w:after="60"/>
      </w:pPr>
      <w:r>
        <w:rPr>
          <w:b/>
          <w:bCs/>
          <w:color w:val="1D4ED8"/>
          <w:spacing w:val="40"/>
          <w:sz w:val="18"/>
          <w:szCs w:val="18"/>
        </w:rPr>
        <w:t xml:space="preserve">ROUGH DRAFT</w:t>
      </w:r>
    </w:p>
    <w:p>
      <w:pPr>
        <w:spacing w:after="40"/>
      </w:pPr>
      <w:r>
        <w:rPr>
          <w:b/>
          <w:bCs/>
          <w:color w:val="1F2933"/>
          <w:sz w:val="40"/>
          <w:szCs w:val="40"/>
        </w:rPr>
        <w:t xml:space="preserve">Predicting FEMA Disaster-Assistance Eligibility</w:t>
      </w:r>
    </w:p>
    <w:p>
      <w:pPr>
        <w:spacing w:after="80"/>
      </w:pPr>
      <w:r>
        <w:rPr>
          <w:color w:val="1F2933"/>
          <w:sz w:val="28"/>
          <w:szCs w:val="28"/>
        </w:rPr>
        <w:t xml:space="preserve">Hurricane Ian, Lee County, FL</w:t>
      </w:r>
    </w:p>
    <w:p>
      <w:pPr>
        <w:pBdr>
          <w:bottom w:val="single" w:color="E5E7EB" w:sz="6" w:space="10"/>
        </w:pBdr>
        <w:spacing w:after="280"/>
      </w:pPr>
      <w:r>
        <w:rPr>
          <w:color w:val="6B7280"/>
          <w:sz w:val="20"/>
          <w:szCs w:val="20"/>
        </w:rPr>
        <w:t xml:space="preserve">CAI 4105 Machine Learning, Fall 2026  ·  Milestone 1: Initial Report  ·  [TEAM: team name]  ·  Anthony, Mateo, Danny [TEAM: full names]</w:t>
      </w:r>
    </w:p>
    <w:p>
      <w:pPr>
        <w:pStyle w:val="Heading1"/>
      </w:pPr>
      <w:r>
        <w:t xml:space="preserve">1. Executive Summary</w:t>
      </w:r>
    </w:p>
    <w:p>
      <w:pPr>
        <w:keepNext/>
        <w:spacing w:after="160"/>
      </w:pPr>
      <w:r>
        <w:rPr>
          <w:b/>
          <w:bCs/>
          <w:color w:val="FFFFFF"/>
          <w:sz w:val="17"/>
          <w:szCs w:val="17"/>
          <w:shd w:fill="1D4ED8" w:color="auto" w:val="clear"/>
        </w:rPr>
        <w:t xml:space="preserve"> TOGETHER, LAST </w:t>
      </w:r>
      <w:r>
        <w:rPr>
          <w:color w:val="6B7280"/>
          <w:sz w:val="18"/>
          <w:szCs w:val="18"/>
        </w:rPr>
        <w:t xml:space="preserve">   1 page  ·  written after §2–6 are final</w:t>
      </w:r>
    </w:p>
    <w:p>
      <w:pPr>
        <w:keepNext/>
        <w:pBdr>
          <w:left w:val="single" w:color="F59E0B" w:sz="18" w:space="8"/>
        </w:pBdr>
        <w:shd w:fill="FFF7E6" w:color="auto" w:val="clear"/>
        <w:spacing w:after="180" w:before="60"/>
        <w:ind w:left="160" w:right="160"/>
      </w:pPr>
      <w:r>
        <w:rPr>
          <w:b/>
          <w:bCs/>
          <w:color w:val="B45309"/>
        </w:rPr>
        <w:t xml:space="preserve">OWNER NOTE  </w:t>
      </w:r>
      <w:r>
        <w:t xml:space="preserve">Rewrite on the Tuesday call so it matches the final sections. If a number changes anywhere, change it here too.</w:t>
      </w:r>
    </w:p>
    <w:p>
      <w:pPr>
        <w:spacing w:after="120"/>
      </w:pPr>
      <w:r>
        <w:rPr>
          <w:b/>
          <w:bCs/>
        </w:rPr>
        <w:t xml:space="preserve">Overview.</w:t>
      </w:r>
      <w:r>
        <w:t xml:space="preserve"> In September 2022, Hurricane Ian hit southwest Florida. Lee County alone produced 194,482 valid applications to FEMA's Individuals and Households Program (IHP), which gives money to survivors for housing and other urgent needs. We frame FEMA's award decision as a </w:t>
      </w:r>
      <w:r>
        <w:rPr>
          <w:b/>
          <w:bCs/>
        </w:rPr>
        <w:t xml:space="preserve">binary classification</w:t>
      </w:r>
      <w:r>
        <w:t xml:space="preserve"> problem and predict whether an applicant will be awarded IHP aid (</w:t>
      </w:r>
      <w:r>
        <w:rPr>
          <w:rFonts w:ascii="Consolas" w:cs="Consolas" w:eastAsia="Consolas" w:hAnsi="Consolas"/>
          <w:color w:val="374151"/>
          <w:sz w:val="19"/>
          <w:szCs w:val="19"/>
        </w:rPr>
        <w:t xml:space="preserve">ihpEligible</w:t>
      </w:r>
      <w:r>
        <w:t xml:space="preserve">).</w:t>
      </w:r>
    </w:p>
    <w:p>
      <w:pPr>
        <w:spacing w:after="120"/>
      </w:pPr>
      <w:r>
        <w:rPr>
          <w:b/>
          <w:bCs/>
        </w:rPr>
        <w:t xml:space="preserve">Dataset.</w:t>
      </w:r>
      <w:r>
        <w:t xml:space="preserve"> Public OpenFEMA data (</w:t>
      </w:r>
      <w:r>
        <w:rPr>
          <w:i/>
          <w:iCs/>
        </w:rPr>
        <w:t xml:space="preserve">IHP Valid Registrations v2</w:t>
      </w:r>
      <w:r>
        <w:t xml:space="preserve">), filtered to disaster DR-4673 and Lee County: 194,482 applications and 100 columns of mixed numeric, yes/no and categorical data. The target is balanced (50.7% awarded, 49.3% not).</w:t>
      </w:r>
    </w:p>
    <w:p>
      <w:pPr>
        <w:spacing w:after="60"/>
      </w:pPr>
      <w:r>
        <w:rPr>
          <w:b/>
          <w:bCs/>
        </w:rPr>
        <w:t xml:space="preserve">Findings so far.</w:t>
      </w:r>
    </w:p>
    <w:p>
      <w:pPr>
        <w:pStyle w:val="ListParagraph"/>
        <w:numPr>
          <w:ilvl w:val="0"/>
          <w:numId w:val="3"/>
        </w:numPr>
        <w:spacing w:after="60"/>
      </w:pPr>
      <w:r>
        <w:rPr>
          <w:b/>
          <w:bCs/>
        </w:rPr>
        <w:t xml:space="preserve">Leakage is the main risk.</w:t>
      </w:r>
      <w:r>
        <w:t xml:space="preserve"> 43 of 100 columns are results of the decision. One (</w:t>
      </w:r>
      <w:r>
        <w:rPr>
          <w:rFonts w:ascii="Consolas" w:cs="Consolas" w:eastAsia="Consolas" w:hAnsi="Consolas"/>
          <w:color w:val="374151"/>
          <w:sz w:val="19"/>
          <w:szCs w:val="19"/>
        </w:rPr>
        <w:t xml:space="preserve">ihpAmount</w:t>
      </w:r>
      <w:r>
        <w:t xml:space="preserve">) is identical to the target. We separate them from the start.</w:t>
      </w:r>
    </w:p>
    <w:p>
      <w:pPr>
        <w:pStyle w:val="ListParagraph"/>
        <w:numPr>
          <w:ilvl w:val="0"/>
          <w:numId w:val="3"/>
        </w:numPr>
        <w:spacing w:after="60"/>
      </w:pPr>
      <w:r>
        <w:rPr>
          <w:b/>
          <w:bCs/>
        </w:rPr>
        <w:t xml:space="preserve">Two honest prediction moments.</w:t>
      </w:r>
      <w:r>
        <w:t xml:space="preserve"> Tier 1 uses what the applicant reports at registration (26 features). Tier 2 adds what FEMA learns after inspection (40 features).</w:t>
      </w:r>
    </w:p>
    <w:p>
      <w:pPr>
        <w:pStyle w:val="ListParagraph"/>
        <w:numPr>
          <w:ilvl w:val="0"/>
          <w:numId w:val="3"/>
        </w:numPr>
        <w:spacing w:after="60"/>
      </w:pPr>
      <w:r>
        <w:rPr>
          <w:b/>
          <w:bCs/>
        </w:rPr>
        <w:t xml:space="preserve">The problem is learnable.</w:t>
      </w:r>
      <w:r>
        <w:t xml:space="preserve"> Untuned baselines reach ROC-AUC of about </w:t>
      </w:r>
      <w:r>
        <w:rPr>
          <w:b/>
          <w:bCs/>
        </w:rPr>
        <w:t xml:space="preserve">0.90</w:t>
      </w:r>
      <w:r>
        <w:t xml:space="preserve"> (Tier 1) and </w:t>
      </w:r>
      <w:r>
        <w:rPr>
          <w:b/>
          <w:bCs/>
        </w:rPr>
        <w:t xml:space="preserve">0.94</w:t>
      </w:r>
      <w:r>
        <w:t xml:space="preserve"> (Tier 2), against 0.50 for guessing. Much of the decision follows mechanical rules (46% of awards are exactly $700).</w:t>
      </w:r>
    </w:p>
    <w:p>
      <w:pPr>
        <w:pStyle w:val="ListParagraph"/>
        <w:numPr>
          <w:ilvl w:val="0"/>
          <w:numId w:val="3"/>
        </w:numPr>
        <w:spacing w:after="60"/>
      </w:pPr>
      <w:r>
        <w:rPr>
          <w:b/>
          <w:bCs/>
        </w:rPr>
        <w:t xml:space="preserve">Data quality is good but imperfect.</w:t>
      </w:r>
      <w:r>
        <w:t xml:space="preserve"> Some columns are mostly blank, damage amounts are heavily skewed, about 3% of census blocks fall outside Lee County, and city names are hand-typed.</w:t>
      </w:r>
    </w:p>
    <w:p>
      <w:pPr>
        <w:spacing w:after="120"/>
      </w:pPr>
      <w:r>
        <w:rPr>
          <w:b/>
          <w:bCs/>
        </w:rPr>
        <w:t xml:space="preserve">Approach.</w:t>
      </w:r>
      <w:r>
        <w:t xml:space="preserve"> Clean the data and split it once (stratified 60/20/20). Compare logistic regression, a decision tree, a random forest and gradient boosting with stratified cross-validation. Judge them on ROC-AUC, F1 and error rates across age and income groups, with a person making every final decision.</w:t>
      </w:r>
    </w:p>
    <w:p>
      <w:pPr>
        <w:pStyle w:val="Heading1"/>
      </w:pPr>
      <w:r>
        <w:t xml:space="preserve">2. Business Understanding</w:t>
      </w:r>
    </w:p>
    <w:p>
      <w:pPr>
        <w:keepNext/>
        <w:spacing w:after="160"/>
      </w:pPr>
      <w:r>
        <w:rPr>
          <w:b/>
          <w:bCs/>
          <w:color w:val="FFFFFF"/>
          <w:sz w:val="17"/>
          <w:szCs w:val="17"/>
          <w:shd w:fill="1D4ED8" w:color="auto" w:val="clear"/>
        </w:rPr>
        <w:t xml:space="preserve"> MATEO </w:t>
      </w:r>
      <w:r>
        <w:rPr>
          <w:color w:val="6B7280"/>
          <w:sz w:val="18"/>
          <w:szCs w:val="18"/>
        </w:rPr>
        <w:t xml:space="preserve">   2–3 pages  ·  5 pts</w:t>
      </w:r>
    </w:p>
    <w:p>
      <w:pPr>
        <w:keepNext/>
        <w:pBdr>
          <w:left w:val="single" w:color="F59E0B" w:sz="18" w:space="8"/>
        </w:pBdr>
        <w:shd w:fill="FFF7E6" w:color="auto" w:val="clear"/>
        <w:spacing w:after="180" w:before="60"/>
        <w:ind w:left="160" w:right="160"/>
      </w:pPr>
      <w:r>
        <w:rPr>
          <w:b/>
          <w:bCs/>
          <w:color w:val="B45309"/>
        </w:rPr>
        <w:t xml:space="preserve">OWNER NOTE  </w:t>
      </w:r>
      <w:r>
        <w:t xml:space="preserve">Graders want a clear problem statement, measurable success criteria, stakeholders and risks. The [TEAM: confirm] items are yours.</w:t>
      </w:r>
    </w:p>
    <w:p>
      <w:pPr>
        <w:pStyle w:val="Heading2"/>
      </w:pPr>
      <w:r>
        <w:t xml:space="preserve">2.1 Problem definition and motivation</w:t>
      </w:r>
    </w:p>
    <w:p>
      <w:pPr>
        <w:spacing w:after="120"/>
      </w:pPr>
      <w:r>
        <w:t xml:space="preserve">After a major hurricane, tens of thousands of households apply for federal aid within days. In Lee County, applications peaked on September 30, 2022 (15,240 in one day), and 94% had arrived by the end of October (Figure 2.1). Each application goes through referral, document checks, sometimes an inspection, and a decision. About half end without an award: 30% of unsuccessful applicants had insurance, 19% had no eligible damage, 13% did not respond or withdrew, and 35% were never referred (Figure 2.2).</w:t>
      </w:r>
    </w:p>
    <w:p>
      <w:pPr>
        <w:keepNext/>
        <w:spacing w:after="40" w:before="120"/>
        <w:jc w:val="center"/>
      </w:pPr>
      <w:r>
        <w:drawing>
          <wp:inline distT="0" distB="0" distL="0" distR="0">
            <wp:extent cx="420624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06240" cy="1857375"/>
                    </a:xfrm>
                    <a:prstGeom prst="rect">
                      <a:avLst/>
                    </a:prstGeom>
                  </pic:spPr>
                </pic:pic>
              </a:graphicData>
            </a:graphic>
          </wp:inline>
        </w:drawing>
      </w:r>
    </w:p>
    <w:p>
      <w:pPr>
        <w:spacing w:after="200"/>
        <w:jc w:val="center"/>
      </w:pPr>
      <w:r>
        <w:rPr>
          <w:i/>
          <w:iCs/>
          <w:color w:val="6B7280"/>
          <w:sz w:val="18"/>
          <w:szCs w:val="18"/>
        </w:rPr>
        <w:t xml:space="preserve">Figure 2.1. Daily applications; the peak is Sep 30, 2022.</w:t>
      </w:r>
    </w:p>
    <w:p>
      <w:pPr>
        <w:keepNext/>
        <w:spacing w:after="40" w:before="120"/>
        <w:jc w:val="center"/>
      </w:pPr>
      <w:r>
        <w:drawing>
          <wp:inline distT="0" distB="0" distL="0" distR="0">
            <wp:extent cx="420624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1876425"/>
                    </a:xfrm>
                    <a:prstGeom prst="rect">
                      <a:avLst/>
                    </a:prstGeom>
                  </pic:spPr>
                </pic:pic>
              </a:graphicData>
            </a:graphic>
          </wp:inline>
        </w:drawing>
      </w:r>
    </w:p>
    <w:p>
      <w:pPr>
        <w:spacing w:after="200"/>
        <w:jc w:val="center"/>
      </w:pPr>
      <w:r>
        <w:rPr>
          <w:i/>
          <w:iCs/>
          <w:color w:val="6B7280"/>
          <w:sz w:val="18"/>
          <w:szCs w:val="18"/>
        </w:rPr>
        <w:t xml:space="preserve">Figure 2.2. Why applicants were not awarded aid.</w:t>
      </w:r>
    </w:p>
    <w:p>
      <w:pPr>
        <w:spacing w:after="120"/>
      </w:pPr>
      <w:r>
        <w:rPr>
          <w:b/>
          <w:bCs/>
        </w:rPr>
        <w:t xml:space="preserve">The question our model answers:</w:t>
      </w:r>
      <w:r>
        <w:t xml:space="preserve"> </w:t>
      </w:r>
      <w:r>
        <w:rPr>
          <w:i/>
          <w:iCs/>
        </w:rPr>
        <w:t xml:space="preserve">given what we know about an applicant, will FEMA award them IHP aid?</w:t>
      </w:r>
    </w:p>
    <w:p>
      <w:pPr>
        <w:spacing w:after="60"/>
      </w:pPr>
      <w:r>
        <w:rPr>
          <w:b/>
          <w:bCs/>
        </w:rPr>
        <w:t xml:space="preserve">Why it matters.</w:t>
      </w:r>
      <w:r>
        <w:t xml:space="preserve"> Survivors wait while caseworkers are overloaded. A reliable prediction could help FEMA:</w:t>
      </w:r>
    </w:p>
    <w:p>
      <w:pPr>
        <w:pStyle w:val="ListParagraph"/>
        <w:numPr>
          <w:ilvl w:val="0"/>
          <w:numId w:val="2"/>
        </w:numPr>
        <w:spacing w:after="60"/>
      </w:pPr>
      <w:r>
        <w:t xml:space="preserve">fast-track likely-eligible applications;</w:t>
      </w:r>
    </w:p>
    <w:p>
      <w:pPr>
        <w:pStyle w:val="ListParagraph"/>
        <w:numPr>
          <w:ilvl w:val="0"/>
          <w:numId w:val="2"/>
        </w:numPr>
        <w:spacing w:after="60"/>
      </w:pPr>
      <w:r>
        <w:t xml:space="preserve">flag likely-ineligible ones early, so staff can say what is missing (for example, insurance documents);</w:t>
      </w:r>
    </w:p>
    <w:p>
      <w:pPr>
        <w:pStyle w:val="ListParagraph"/>
        <w:numPr>
          <w:ilvl w:val="0"/>
          <w:numId w:val="2"/>
        </w:numPr>
        <w:spacing w:after="60"/>
      </w:pPr>
      <w:r>
        <w:t xml:space="preserve">decide where to send inspectors first;</w:t>
      </w:r>
    </w:p>
    <w:p>
      <w:pPr>
        <w:pStyle w:val="ListParagraph"/>
        <w:numPr>
          <w:ilvl w:val="0"/>
          <w:numId w:val="2"/>
        </w:numPr>
        <w:spacing w:after="60"/>
      </w:pPr>
      <w:r>
        <w:t xml:space="preserve">plan staffing and budget for the next disaster.</w:t>
      </w:r>
    </w:p>
    <w:p>
      <w:pPr>
        <w:spacing w:after="120"/>
      </w:pPr>
      <w:r>
        <w:rPr>
          <w:b/>
          <w:bCs/>
        </w:rPr>
        <w:t xml:space="preserve">What it is not.</w:t>
      </w:r>
      <w:r>
        <w:t xml:space="preserve"> The model supports decisions. It never denies anyone aid automatically; a person makes every final call.</w:t>
      </w:r>
    </w:p>
    <w:p>
      <w:pPr>
        <w:pStyle w:val="Heading2"/>
      </w:pPr>
      <w:r>
        <w:t xml:space="preserve">2.2 Objectives and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tblHeader/>
        </w:trPr>
        <w:tc>
          <w:tcPr>
            <w:tcW w:type="dxa" w:w="27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OBJECTIVE</w:t>
            </w:r>
          </w:p>
        </w:tc>
        <w:tc>
          <w:tcPr>
            <w:tcW w:type="dxa" w:w="32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MEASURE</w:t>
            </w:r>
          </w:p>
        </w:tc>
        <w:tc>
          <w:tcPr>
            <w:tcW w:type="dxa" w:w="34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TARGET [TEAM: CONFIRM]</w:t>
            </w:r>
          </w:p>
        </w:tc>
      </w:tr>
      <w:tr>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Predict at registration (Tier 1)</w:t>
            </w:r>
          </w:p>
        </w:tc>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ROC-AUC, F1 on held-out test set</w:t>
            </w:r>
          </w:p>
        </w:tc>
        <w:tc>
          <w:tcPr>
            <w:tcW w:type="dxa" w:w="34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ROC-AUC ≥ 0.90, F1 ≥ 0.83</w:t>
            </w:r>
          </w:p>
        </w:tc>
      </w:tr>
      <w:tr>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Predict after inspection (Tier 2)</w:t>
            </w:r>
          </w:p>
        </w:tc>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Same</w:t>
            </w:r>
          </w:p>
        </w:tc>
        <w:tc>
          <w:tcPr>
            <w:tcW w:type="dxa" w:w="34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ROC-AUC ≥ 0.94</w:t>
            </w:r>
          </w:p>
        </w:tc>
      </w:tr>
      <w:tr>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Beat naive approaches</w:t>
            </w:r>
          </w:p>
        </w:tc>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vs majority class and logistic regression</w:t>
            </w:r>
          </w:p>
        </w:tc>
        <w:tc>
          <w:tcPr>
            <w:tcW w:type="dxa" w:w="34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Clear win over both (50.7% accuracy; LR AUC 0.84)</w:t>
            </w:r>
          </w:p>
        </w:tc>
      </w:tr>
      <w:tr>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Fair across groups</w:t>
            </w:r>
          </w:p>
        </w:tc>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Error rate by age and income band</w:t>
            </w:r>
          </w:p>
        </w:tc>
        <w:tc>
          <w:tcPr>
            <w:tcW w:type="dxa" w:w="34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No group &gt; 5 pts above overall</w:t>
            </w:r>
          </w:p>
        </w:tc>
      </w:tr>
      <w:tr>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Explainable</w:t>
            </w:r>
          </w:p>
        </w:tc>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Feature importance, partial-dependence plots</w:t>
            </w:r>
          </w:p>
        </w:tc>
        <w:tc>
          <w:tcPr>
            <w:tcW w:type="dxa" w:w="34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Top drivers match FEMA's stated rules</w:t>
            </w:r>
          </w:p>
        </w:tc>
      </w:tr>
    </w:tbl>
    <w:p>
      <w:pPr>
        <w:spacing w:after="80"/>
      </w:pPr>
    </w:p>
    <w:p>
      <w:pPr>
        <w:spacing w:after="120"/>
      </w:pPr>
      <w:r>
        <w:rPr>
          <w:i/>
          <w:iCs/>
          <w:color w:val="6B7280"/>
          <w:sz w:val="18"/>
          <w:szCs w:val="18"/>
        </w:rPr>
        <w:t xml:space="preserve">These targets come from untuned baselines (§5.1). They are goals for the tuned models, not promises.</w:t>
      </w:r>
    </w:p>
    <w:p>
      <w:pPr>
        <w:pStyle w:val="Heading2"/>
      </w:pPr>
      <w:r>
        <w:t xml:space="preserve">2.3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STAKEHOLDER</w:t>
            </w:r>
          </w:p>
        </w:tc>
        <w:tc>
          <w:tcPr>
            <w:tcW w:type="dxa" w:w="27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WANTS</w:t>
            </w:r>
          </w:p>
        </w:tc>
        <w:tc>
          <w:tcPr>
            <w:tcW w:type="dxa" w:w="39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COST OF A WRONG PREDICTION</w:t>
            </w:r>
          </w:p>
        </w:tc>
      </w:tr>
      <w:tr>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Applicants</w:t>
            </w:r>
          </w:p>
        </w:tc>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Fast, fair, clear decisions</w:t>
            </w:r>
          </w:p>
        </w:tc>
        <w:tc>
          <w:tcPr>
            <w:tcW w:type="dxa" w:w="3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Wrongly flagged "ineligible" (false negative), may give up on a valid claim</w:t>
            </w:r>
          </w:p>
        </w:tc>
      </w:tr>
      <w:tr>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FEMA caseworkers, managers</w:t>
            </w:r>
          </w:p>
        </w:tc>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Throughput, defensible decisions</w:t>
            </w:r>
          </w:p>
        </w:tc>
        <w:tc>
          <w:tcPr>
            <w:tcW w:type="dxa" w:w="3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Wasted inspections (false positives) or missed eligible people</w:t>
            </w:r>
          </w:p>
        </w:tc>
      </w:tr>
      <w:tr>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Lee County, State of Florida</w:t>
            </w:r>
          </w:p>
        </w:tc>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Recovery speed, planning</w:t>
            </w:r>
          </w:p>
        </w:tc>
        <w:tc>
          <w:tcPr>
            <w:tcW w:type="dxa" w:w="3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Misjudged demand</w:t>
            </w:r>
          </w:p>
        </w:tc>
      </w:tr>
      <w:tr>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Congress, auditors, taxpayers</w:t>
            </w:r>
          </w:p>
        </w:tc>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Proper use of funds</w:t>
            </w:r>
          </w:p>
        </w:tc>
        <w:tc>
          <w:tcPr>
            <w:tcW w:type="dxa" w:w="3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Improper payments or unexplained denials</w:t>
            </w:r>
          </w:p>
        </w:tc>
      </w:tr>
      <w:tr>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Equity and legal-aid groups</w:t>
            </w:r>
          </w:p>
        </w:tc>
        <w:tc>
          <w:tcPr>
            <w:tcW w:type="dxa" w:w="27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No group treated worse</w:t>
            </w:r>
          </w:p>
        </w:tc>
        <w:tc>
          <w:tcPr>
            <w:tcW w:type="dxa" w:w="3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Systematic bias by age, income or place</w:t>
            </w:r>
          </w:p>
        </w:tc>
      </w:tr>
    </w:tbl>
    <w:p>
      <w:pPr>
        <w:spacing w:after="80"/>
      </w:pPr>
    </w:p>
    <w:p>
      <w:pPr>
        <w:pStyle w:val="Heading2"/>
      </w:pPr>
      <w:r>
        <w:t xml:space="preserve">2.4 Expected impact</w:t>
      </w:r>
    </w:p>
    <w:p>
      <w:pPr>
        <w:spacing w:after="120"/>
      </w:pPr>
      <w:r>
        <w:t xml:space="preserve">A tuned, audited model gives FEMA an early, explainable signal at registration, when acting on information is cheapest. Its value is speed and prioritization, not replacing judgment. Because outcomes partly follow FEMA's own rules, the model also works as a </w:t>
      </w:r>
      <w:r>
        <w:rPr>
          <w:b/>
          <w:bCs/>
        </w:rPr>
        <w:t xml:space="preserve">consistency check</w:t>
      </w:r>
      <w:r>
        <w:t xml:space="preserve">: cases where it strongly disagrees with the outcome deserve a second look.</w:t>
      </w:r>
    </w:p>
    <w:p>
      <w:pPr>
        <w:pStyle w:val="Heading2"/>
      </w:pPr>
      <w:r>
        <w:t xml:space="preserve">2.5 Risks and assumptions</w:t>
      </w:r>
    </w:p>
    <w:p>
      <w:pPr>
        <w:pStyle w:val="ListParagraph"/>
        <w:numPr>
          <w:ilvl w:val="0"/>
          <w:numId w:val="2"/>
        </w:numPr>
        <w:spacing w:after="60"/>
      </w:pPr>
      <w:r>
        <w:rPr>
          <w:b/>
          <w:bCs/>
        </w:rPr>
        <w:t xml:space="preserve">Selection bias:</w:t>
      </w:r>
      <w:r>
        <w:t xml:space="preserve"> only valid registrations are in the data.</w:t>
      </w:r>
    </w:p>
    <w:p>
      <w:pPr>
        <w:pStyle w:val="ListParagraph"/>
        <w:numPr>
          <w:ilvl w:val="0"/>
          <w:numId w:val="2"/>
        </w:numPr>
        <w:spacing w:after="60"/>
      </w:pPr>
      <w:r>
        <w:rPr>
          <w:b/>
          <w:bCs/>
        </w:rPr>
        <w:t xml:space="preserve">Generalization:</w:t>
      </w:r>
      <w:r>
        <w:t xml:space="preserve"> one storm, one county; results may not transfer.</w:t>
      </w:r>
    </w:p>
    <w:p>
      <w:pPr>
        <w:pStyle w:val="ListParagraph"/>
        <w:numPr>
          <w:ilvl w:val="0"/>
          <w:numId w:val="2"/>
        </w:numPr>
        <w:spacing w:after="60"/>
      </w:pPr>
      <w:r>
        <w:rPr>
          <w:b/>
          <w:bCs/>
        </w:rPr>
        <w:t xml:space="preserve">Label noise:</w:t>
      </w:r>
      <w:r>
        <w:t xml:space="preserve"> "not eligible" mixes insurance, missing documents, withdrawal and never referred.</w:t>
      </w:r>
    </w:p>
    <w:p>
      <w:pPr>
        <w:pStyle w:val="ListParagraph"/>
        <w:numPr>
          <w:ilvl w:val="0"/>
          <w:numId w:val="2"/>
        </w:numPr>
        <w:spacing w:after="60"/>
      </w:pPr>
      <w:r>
        <w:rPr>
          <w:b/>
          <w:bCs/>
        </w:rPr>
        <w:t xml:space="preserve">Fairness:</w:t>
      </w:r>
      <w:r>
        <w:t xml:space="preserve"> age, income and location can correlate with vulnerable groups, so we audit error rates by group.</w:t>
      </w:r>
    </w:p>
    <w:p>
      <w:pPr>
        <w:pStyle w:val="ListParagraph"/>
        <w:numPr>
          <w:ilvl w:val="0"/>
          <w:numId w:val="2"/>
        </w:numPr>
        <w:spacing w:after="60"/>
      </w:pPr>
      <w:r>
        <w:rPr>
          <w:b/>
          <w:bCs/>
        </w:rPr>
        <w:t xml:space="preserve">Assumption:</w:t>
      </w:r>
      <w:r>
        <w:t xml:space="preserve"> the flat $700 payment looks like an emergency-needs payment. We will confirm this in FEMA documentation. [TEAM: confirm]</w:t>
      </w:r>
    </w:p>
    <w:p>
      <w:pPr>
        <w:pStyle w:val="Heading1"/>
      </w:pPr>
      <w:r>
        <w:t xml:space="preserve">3. Data Understanding</w:t>
      </w:r>
    </w:p>
    <w:p>
      <w:pPr>
        <w:keepNext/>
        <w:spacing w:after="160"/>
      </w:pPr>
      <w:r>
        <w:rPr>
          <w:b/>
          <w:bCs/>
          <w:color w:val="FFFFFF"/>
          <w:sz w:val="17"/>
          <w:szCs w:val="17"/>
          <w:shd w:fill="1D4ED8" w:color="auto" w:val="clear"/>
        </w:rPr>
        <w:t xml:space="preserve"> ANTHONY </w:t>
      </w:r>
      <w:r>
        <w:rPr>
          <w:color w:val="6B7280"/>
          <w:sz w:val="18"/>
          <w:szCs w:val="18"/>
        </w:rPr>
        <w:t xml:space="preserve">   3–4 pages  ·  7 pts (largest)</w:t>
      </w:r>
    </w:p>
    <w:p>
      <w:pPr>
        <w:keepNext/>
        <w:pBdr>
          <w:left w:val="single" w:color="F59E0B" w:sz="18" w:space="8"/>
        </w:pBdr>
        <w:shd w:fill="FFF7E6" w:color="auto" w:val="clear"/>
        <w:spacing w:after="180" w:before="60"/>
        <w:ind w:left="160" w:right="160"/>
      </w:pPr>
      <w:r>
        <w:rPr>
          <w:b/>
          <w:bCs/>
          <w:color w:val="B45309"/>
        </w:rPr>
        <w:t xml:space="preserve">OWNER NOTE  </w:t>
      </w:r>
      <w:r>
        <w:t xml:space="preserve">Order: what the data is → the target → what we must not use → distributions → relationships → problems → what it means for modeling. Every subsection ends with an ML takeaway.</w:t>
      </w:r>
    </w:p>
    <w:p>
      <w:pPr>
        <w:spacing w:after="120"/>
      </w:pPr>
      <w:r>
        <w:t xml:space="preserve">Full analysis: </w:t>
      </w:r>
      <w:r>
        <w:rPr>
          <w:rFonts w:ascii="Consolas" w:cs="Consolas" w:eastAsia="Consolas" w:hAnsi="Consolas"/>
          <w:color w:val="374151"/>
          <w:sz w:val="19"/>
          <w:szCs w:val="19"/>
        </w:rPr>
        <w:t xml:space="preserve">notebooks/eda/01_initial_eda.ipynb</w:t>
      </w:r>
      <w:r>
        <w:t xml:space="preserve"> (exported as </w:t>
      </w:r>
      <w:r>
        <w:rPr>
          <w:rFonts w:ascii="Consolas" w:cs="Consolas" w:eastAsia="Consolas" w:hAnsi="Consolas"/>
          <w:color w:val="374151"/>
          <w:sz w:val="19"/>
          <w:szCs w:val="19"/>
        </w:rPr>
        <w:t xml:space="preserve">eda_notebook.html</w:t>
      </w:r>
      <w:r>
        <w:t xml:space="preserve">). Column definitions: </w:t>
      </w:r>
      <w:r>
        <w:rPr>
          <w:rFonts w:ascii="Consolas" w:cs="Consolas" w:eastAsia="Consolas" w:hAnsi="Consolas"/>
          <w:color w:val="374151"/>
          <w:sz w:val="19"/>
          <w:szCs w:val="19"/>
        </w:rPr>
        <w:t xml:space="preserve">docs/data_dictionary.md</w:t>
      </w:r>
      <w:r>
        <w:t xml:space="preserve">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Rows</w:t>
            </w:r>
          </w:p>
        </w:tc>
        <w:tc>
          <w:tcPr>
            <w:tcW w:type="dxa" w:w="6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194,482 applications, one household each</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Columns</w:t>
            </w:r>
          </w:p>
        </w:tc>
        <w:tc>
          <w:tcPr>
            <w:tcW w:type="dxa" w:w="6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100 raw → 26 features at Tier 1, 40 at Tier 2</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Target</w:t>
            </w:r>
          </w:p>
        </w:tc>
        <w:tc>
          <w:tcPr>
            <w:tcW w:type="dxa" w:w="6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rFonts w:ascii="Consolas" w:cs="Consolas" w:eastAsia="Consolas" w:hAnsi="Consolas"/>
                <w:color w:val="374151"/>
                <w:sz w:val="19"/>
                <w:szCs w:val="19"/>
              </w:rPr>
              <w:t xml:space="preserve">ihpEligible</w:t>
            </w:r>
            <w:r>
              <w:rPr>
                <w:sz w:val="19"/>
                <w:szCs w:val="19"/>
              </w:rPr>
              <w:t xml:space="preserve">, balanced 50.7% / 49.3%</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Leakage columns removed</w:t>
            </w:r>
          </w:p>
        </w:tc>
        <w:tc>
          <w:tcPr>
            <w:tcW w:type="dxa" w:w="6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43</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Columns &gt; 10% missing</w:t>
            </w:r>
          </w:p>
        </w:tc>
        <w:tc>
          <w:tcPr>
            <w:tcW w:type="dxa" w:w="6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6</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b/>
                <w:bCs/>
                <w:sz w:val="19"/>
                <w:szCs w:val="19"/>
              </w:rPr>
              <w:t xml:space="preserve">Best honest single feature</w:t>
            </w:r>
          </w:p>
        </w:tc>
        <w:tc>
          <w:tcPr>
            <w:tcW w:type="dxa" w:w="6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ROC-AUC ≈ 0.70 (vs 1.000 for the leaky </w:t>
            </w:r>
            <w:r>
              <w:rPr>
                <w:rFonts w:ascii="Consolas" w:cs="Consolas" w:eastAsia="Consolas" w:hAnsi="Consolas"/>
                <w:color w:val="374151"/>
                <w:sz w:val="19"/>
                <w:szCs w:val="19"/>
              </w:rPr>
              <w:t xml:space="preserve">ihpAmount</w:t>
            </w:r>
            <w:r>
              <w:rPr>
                <w:sz w:val="19"/>
                <w:szCs w:val="19"/>
              </w:rPr>
              <w:t xml:space="preserve">)</w:t>
            </w:r>
          </w:p>
        </w:tc>
      </w:tr>
    </w:tbl>
    <w:p>
      <w:pPr>
        <w:spacing w:after="80"/>
      </w:pPr>
    </w:p>
    <w:p>
      <w:pPr>
        <w:pStyle w:val="Heading2"/>
      </w:pPr>
      <w:r>
        <w:t xml:space="preserve">3.1 Source and collection</w:t>
      </w:r>
    </w:p>
    <w:p>
      <w:pPr>
        <w:pStyle w:val="ListParagraph"/>
        <w:numPr>
          <w:ilvl w:val="0"/>
          <w:numId w:val="2"/>
        </w:numPr>
        <w:spacing w:after="60"/>
      </w:pPr>
      <w:r>
        <w:rPr>
          <w:b/>
          <w:bCs/>
        </w:rPr>
        <w:t xml:space="preserve">Source:</w:t>
      </w:r>
      <w:r>
        <w:t xml:space="preserve"> FEMA OpenFEMA, </w:t>
      </w:r>
      <w:r>
        <w:rPr>
          <w:i/>
          <w:iCs/>
        </w:rPr>
        <w:t xml:space="preserve">IHP Valid Registrations v2</w:t>
      </w:r>
      <w:r>
        <w:t xml:space="preserve">, a public dataset from FEMA's NEMIS system.</w:t>
      </w:r>
    </w:p>
    <w:p>
      <w:pPr>
        <w:pStyle w:val="ListParagraph"/>
        <w:numPr>
          <w:ilvl w:val="0"/>
          <w:numId w:val="2"/>
        </w:numPr>
        <w:spacing w:after="60"/>
      </w:pPr>
      <w:r>
        <w:rPr>
          <w:b/>
          <w:bCs/>
        </w:rPr>
        <w:t xml:space="preserve">Collection:</w:t>
      </w:r>
      <w:r>
        <w:t xml:space="preserve"> pulled 2026-09-21 from the public OpenFEMA API with </w:t>
      </w:r>
      <w:r>
        <w:rPr>
          <w:rFonts w:ascii="Consolas" w:cs="Consolas" w:eastAsia="Consolas" w:hAnsi="Consolas"/>
          <w:color w:val="374151"/>
          <w:sz w:val="19"/>
          <w:szCs w:val="19"/>
        </w:rPr>
        <w:t xml:space="preserve">src/data/fetch_fema.py</w:t>
      </w:r>
      <w:r>
        <w:t xml:space="preserve">, filtered to DR-4673 and Lee County. FEMA refreshes weekly, so counts can drift slightly.</w:t>
      </w:r>
    </w:p>
    <w:p>
      <w:pPr>
        <w:pStyle w:val="ListParagraph"/>
        <w:numPr>
          <w:ilvl w:val="0"/>
          <w:numId w:val="2"/>
        </w:numPr>
        <w:spacing w:after="60"/>
      </w:pPr>
      <w:r>
        <w:rPr>
          <w:b/>
          <w:bCs/>
        </w:rPr>
        <w:t xml:space="preserve">Grain:</w:t>
      </w:r>
      <w:r>
        <w:t xml:space="preserve"> one row per household application, dated 2022-09-27 to 2023-01-12.</w:t>
      </w:r>
    </w:p>
    <w:p>
      <w:pPr>
        <w:pStyle w:val="ListParagraph"/>
        <w:numPr>
          <w:ilvl w:val="0"/>
          <w:numId w:val="2"/>
        </w:numPr>
        <w:spacing w:after="60"/>
      </w:pPr>
      <w:r>
        <w:rPr>
          <w:b/>
          <w:bCs/>
        </w:rPr>
        <w:t xml:space="preserve">Requirements met:</w:t>
      </w:r>
      <w:r>
        <w:t xml:space="preserve"> ≥ 10 features, ≥ 1,000 rows, numeric and categorical variables.</w:t>
      </w:r>
    </w:p>
    <w:p>
      <w:pPr>
        <w:pStyle w:val="ListParagraph"/>
        <w:numPr>
          <w:ilvl w:val="0"/>
          <w:numId w:val="2"/>
        </w:numPr>
        <w:spacing w:after="60"/>
      </w:pPr>
      <w:r>
        <w:rPr>
          <w:b/>
          <w:bCs/>
        </w:rPr>
        <w:t xml:space="preserve">FEMA caveat:</w:t>
      </w:r>
      <w:r>
        <w:t xml:space="preserve"> raw operational data, "subject to a small percentage of human error."</w:t>
      </w:r>
    </w:p>
    <w:p>
      <w:pPr>
        <w:keepNext/>
        <w:pBdr>
          <w:left w:val="single" w:color="10B981" w:sz="18" w:space="8"/>
        </w:pBdr>
        <w:shd w:fill="ECFDF5" w:color="auto" w:val="clear"/>
        <w:spacing w:after="180" w:before="60"/>
        <w:ind w:left="160" w:right="160"/>
      </w:pPr>
      <w:r>
        <w:rPr>
          <w:b/>
          <w:bCs/>
          <w:color w:val="047857"/>
        </w:rPr>
        <w:t xml:space="preserve">ML takeaway  </w:t>
      </w:r>
      <w:r>
        <w:t xml:space="preserve">large enough for a three-way split plus k-fold CV, but a single disaster limits generalization.</w:t>
      </w:r>
    </w:p>
    <w:p>
      <w:pPr>
        <w:pStyle w:val="Heading2"/>
      </w:pPr>
      <w:r>
        <w:t xml:space="preserve">3.2 Target variable</w:t>
      </w:r>
    </w:p>
    <w:p>
      <w:pPr>
        <w:spacing w:after="120"/>
      </w:pPr>
      <w:r>
        <w:rPr>
          <w:rFonts w:ascii="Consolas" w:cs="Consolas" w:eastAsia="Consolas" w:hAnsi="Consolas"/>
          <w:color w:val="374151"/>
          <w:sz w:val="19"/>
          <w:szCs w:val="19"/>
        </w:rPr>
        <w:t xml:space="preserve">ihpEligible</w:t>
      </w:r>
      <w:r>
        <w:t xml:space="preserve"> is True when the applicant received a housing or other-needs award: 98,648 eligible (50.7%) vs 95,834 not (49.3%) (Figure 3.1).</w:t>
      </w:r>
    </w:p>
    <w:p>
      <w:pPr>
        <w:keepNext/>
        <w:spacing w:after="40" w:before="120"/>
        <w:jc w:val="center"/>
      </w:pPr>
      <w:r>
        <w:drawing>
          <wp:inline distT="0" distB="0" distL="0" distR="0">
            <wp:extent cx="292608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6080" cy="1876425"/>
                    </a:xfrm>
                    <a:prstGeom prst="rect">
                      <a:avLst/>
                    </a:prstGeom>
                  </pic:spPr>
                </pic:pic>
              </a:graphicData>
            </a:graphic>
          </wp:inline>
        </w:drawing>
      </w:r>
    </w:p>
    <w:p>
      <w:pPr>
        <w:spacing w:after="200"/>
        <w:jc w:val="center"/>
      </w:pPr>
      <w:r>
        <w:rPr>
          <w:i/>
          <w:iCs/>
          <w:color w:val="6B7280"/>
          <w:sz w:val="18"/>
          <w:szCs w:val="18"/>
        </w:rPr>
        <w:t xml:space="preserve">Figure 3.1. Class balance of ihpEligible.</w:t>
      </w:r>
    </w:p>
    <w:p>
      <w:pPr>
        <w:keepNext/>
        <w:pBdr>
          <w:left w:val="single" w:color="10B981" w:sz="18" w:space="8"/>
        </w:pBdr>
        <w:shd w:fill="ECFDF5" w:color="auto" w:val="clear"/>
        <w:spacing w:after="180" w:before="60"/>
        <w:ind w:left="160" w:right="160"/>
      </w:pPr>
      <w:r>
        <w:rPr>
          <w:b/>
          <w:bCs/>
          <w:color w:val="047857"/>
        </w:rPr>
        <w:t xml:space="preserve">ML takeaway  </w:t>
      </w:r>
      <w:r>
        <w:t xml:space="preserve">balanced classes, so accuracy is meaningful and no resampling (SMOTE) or class weights are needed. We still stratify every split.</w:t>
      </w:r>
    </w:p>
    <w:p>
      <w:pPr>
        <w:pStyle w:val="Heading2"/>
      </w:pPr>
      <w:r>
        <w:t xml:space="preserve">3.3 Feature roles and data leakage</w:t>
      </w:r>
    </w:p>
    <w:p>
      <w:pPr>
        <w:spacing w:after="120"/>
      </w:pPr>
      <w:r>
        <w:t xml:space="preserve">Every column is assigned a role in </w:t>
      </w:r>
      <w:r>
        <w:rPr>
          <w:rFonts w:ascii="Consolas" w:cs="Consolas" w:eastAsia="Consolas" w:hAnsi="Consolas"/>
          <w:color w:val="374151"/>
          <w:sz w:val="19"/>
          <w:szCs w:val="19"/>
        </w:rPr>
        <w:t xml:space="preserve">src/utils/columns.py</w:t>
      </w:r>
      <w:r>
        <w:t xml:space="preserve">, the team's single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ROLE</w:t>
            </w:r>
          </w:p>
        </w:tc>
        <w:tc>
          <w:tcPr>
            <w:tcW w:type="dxa" w:w="10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COLS</w:t>
            </w:r>
          </w:p>
        </w:tc>
        <w:tc>
          <w:tcPr>
            <w:tcW w:type="dxa" w:w="51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MEANING</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Target</w:t>
            </w:r>
          </w:p>
        </w:tc>
        <w:tc>
          <w:tcPr>
            <w:tcW w:type="dxa" w:w="1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1</w:t>
            </w:r>
          </w:p>
        </w:tc>
        <w:tc>
          <w:tcPr>
            <w:tcW w:type="dxa" w:w="5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rFonts w:ascii="Consolas" w:cs="Consolas" w:eastAsia="Consolas" w:hAnsi="Consolas"/>
                <w:color w:val="374151"/>
                <w:sz w:val="19"/>
                <w:szCs w:val="19"/>
              </w:rPr>
              <w:t xml:space="preserve">ihpEligible</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Tier 1: application-time</w:t>
            </w:r>
          </w:p>
        </w:tc>
        <w:tc>
          <w:tcPr>
            <w:tcW w:type="dxa" w:w="1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27</w:t>
            </w:r>
          </w:p>
        </w:tc>
        <w:tc>
          <w:tcPr>
            <w:tcW w:type="dxa" w:w="5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Self-reported at registration</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Tier 2: later-stage</w:t>
            </w:r>
          </w:p>
        </w:tc>
        <w:tc>
          <w:tcPr>
            <w:tcW w:type="dxa" w:w="1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14</w:t>
            </w:r>
          </w:p>
        </w:tc>
        <w:tc>
          <w:tcPr>
            <w:tcW w:type="dxa" w:w="5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Learned after inspection or verification</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Leakage</w:t>
            </w:r>
          </w:p>
        </w:tc>
        <w:tc>
          <w:tcPr>
            <w:tcW w:type="dxa" w:w="1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43</w:t>
            </w:r>
          </w:p>
        </w:tc>
        <w:tc>
          <w:tcPr>
            <w:tcW w:type="dxa" w:w="5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Results of the decision; never used</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ID / constant</w:t>
            </w:r>
          </w:p>
        </w:tc>
        <w:tc>
          <w:tcPr>
            <w:tcW w:type="dxa" w:w="1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15</w:t>
            </w:r>
          </w:p>
        </w:tc>
        <w:tc>
          <w:tcPr>
            <w:tcW w:type="dxa" w:w="5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Identifiers or the same on every row</w:t>
            </w:r>
          </w:p>
        </w:tc>
      </w:tr>
    </w:tbl>
    <w:p>
      <w:pPr>
        <w:spacing w:after="80"/>
      </w:pPr>
    </w:p>
    <w:p>
      <w:pPr>
        <w:spacing w:after="120"/>
      </w:pPr>
      <w:r>
        <w:rPr>
          <w:i/>
          <w:iCs/>
          <w:color w:val="6B7280"/>
          <w:sz w:val="18"/>
          <w:szCs w:val="18"/>
        </w:rPr>
        <w:t xml:space="preserve">Tier 1 has 27 raw columns but 26 features: cleaning drops `damagedCity` and turns `appliedDate` into `daysSinceLandfall`.</w:t>
      </w:r>
    </w:p>
    <w:p>
      <w:pPr>
        <w:spacing w:after="120"/>
      </w:pPr>
      <w:r>
        <w:rPr>
          <w:b/>
          <w:bCs/>
        </w:rPr>
        <w:t xml:space="preserve">Leakage test.</w:t>
      </w:r>
      <w:r>
        <w:t xml:space="preserve"> We scored each column alone with a small model (Figure 3.2). Outcome columns are near-perfect (</w:t>
      </w:r>
      <w:r>
        <w:rPr>
          <w:rFonts w:ascii="Consolas" w:cs="Consolas" w:eastAsia="Consolas" w:hAnsi="Consolas"/>
          <w:color w:val="374151"/>
          <w:sz w:val="19"/>
          <w:szCs w:val="19"/>
        </w:rPr>
        <w:t xml:space="preserve">ihpAmount</w:t>
      </w:r>
      <w:r>
        <w:t xml:space="preserve"> 1.000, </w:t>
      </w:r>
      <w:r>
        <w:rPr>
          <w:rFonts w:ascii="Consolas" w:cs="Consolas" w:eastAsia="Consolas" w:hAnsi="Consolas"/>
          <w:color w:val="374151"/>
          <w:sz w:val="19"/>
          <w:szCs w:val="19"/>
        </w:rPr>
        <w:t xml:space="preserve">onaEligible</w:t>
      </w:r>
      <w:r>
        <w:t xml:space="preserve"> 0.97, </w:t>
      </w:r>
      <w:r>
        <w:rPr>
          <w:rFonts w:ascii="Consolas" w:cs="Consolas" w:eastAsia="Consolas" w:hAnsi="Consolas"/>
          <w:color w:val="374151"/>
          <w:sz w:val="19"/>
          <w:szCs w:val="19"/>
        </w:rPr>
        <w:t xml:space="preserve">ineligibleReason</w:t>
      </w:r>
      <w:r>
        <w:t xml:space="preserve"> 0.83); the best honest column reaches about 0.70.</w:t>
      </w:r>
    </w:p>
    <w:p>
      <w:pPr>
        <w:spacing w:after="120"/>
      </w:pPr>
      <w:r>
        <w:rPr>
          <w:b/>
          <w:bCs/>
        </w:rPr>
        <w:t xml:space="preserve">Borderline case.</w:t>
      </w:r>
      <w:r>
        <w:t xml:space="preserve"> </w:t>
      </w:r>
      <w:r>
        <w:rPr>
          <w:rFonts w:ascii="Consolas" w:cs="Consolas" w:eastAsia="Consolas" w:hAnsi="Consolas"/>
          <w:color w:val="374151"/>
          <w:sz w:val="19"/>
          <w:szCs w:val="19"/>
        </w:rPr>
        <w:t xml:space="preserve">currentLocation</w:t>
      </w:r>
      <w:r>
        <w:t xml:space="preserve"> includes consequences of aid ("FEMA-provided unit" is 99% eligible), so we moved it from Tier 1 to Tier 2. Cost: 0.013 AUC.</w:t>
      </w:r>
    </w:p>
    <w:p>
      <w:pPr>
        <w:keepNext/>
        <w:spacing w:after="40" w:before="120"/>
        <w:jc w:val="center"/>
      </w:pPr>
      <w:r>
        <w:drawing>
          <wp:inline distT="0" distB="0" distL="0" distR="0">
            <wp:extent cx="420624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6240" cy="3390900"/>
                    </a:xfrm>
                    <a:prstGeom prst="rect">
                      <a:avLst/>
                    </a:prstGeom>
                  </pic:spPr>
                </pic:pic>
              </a:graphicData>
            </a:graphic>
          </wp:inline>
        </w:drawing>
      </w:r>
    </w:p>
    <w:p>
      <w:pPr>
        <w:spacing w:after="200"/>
        <w:jc w:val="center"/>
      </w:pPr>
      <w:r>
        <w:rPr>
          <w:i/>
          <w:iCs/>
          <w:color w:val="6B7280"/>
          <w:sz w:val="18"/>
          <w:szCs w:val="18"/>
        </w:rPr>
        <w:t xml:space="preserve">Figure 3.2. Each column scored alone. Leakage columns cluster near AUC = 1.</w:t>
      </w:r>
    </w:p>
    <w:p>
      <w:pPr>
        <w:keepNext/>
        <w:pBdr>
          <w:left w:val="single" w:color="10B981" w:sz="18" w:space="8"/>
        </w:pBdr>
        <w:shd w:fill="ECFDF5" w:color="auto" w:val="clear"/>
        <w:spacing w:after="180" w:before="60"/>
        <w:ind w:left="160" w:right="160"/>
      </w:pPr>
      <w:r>
        <w:rPr>
          <w:b/>
          <w:bCs/>
          <w:color w:val="047857"/>
        </w:rPr>
        <w:t xml:space="preserve">ML takeaway  </w:t>
      </w:r>
      <w:r>
        <w:t xml:space="preserve">a high score means nothing if the features would not exist at prediction time. Tier 1 / Tier 2 turns that rule into two testable feature sets.</w:t>
      </w:r>
    </w:p>
    <w:p>
      <w:pPr>
        <w:pStyle w:val="Heading2"/>
      </w:pPr>
      <w:r>
        <w:t xml:space="preserve">3.4 Distributions</w:t>
      </w:r>
    </w:p>
    <w:p>
      <w:pPr>
        <w:spacing w:after="120"/>
      </w:pPr>
      <w:r>
        <w:t xml:space="preserve">Applicants are mostly older, small, home-owning households: 57% are 50+, most households have one or two people, 65% own the home, and 77% applied online or by app (Figure 3.3).</w:t>
      </w:r>
    </w:p>
    <w:p>
      <w:pPr>
        <w:pStyle w:val="ListParagraph"/>
        <w:numPr>
          <w:ilvl w:val="0"/>
          <w:numId w:val="2"/>
        </w:numPr>
        <w:spacing w:after="60"/>
      </w:pPr>
      <w:r>
        <w:rPr>
          <w:b/>
          <w:bCs/>
        </w:rPr>
        <w:t xml:space="preserve">Skew:</w:t>
      </w:r>
      <w:r>
        <w:t xml:space="preserve"> damage measures like </w:t>
      </w:r>
      <w:r>
        <w:rPr>
          <w:rFonts w:ascii="Consolas" w:cs="Consolas" w:eastAsia="Consolas" w:hAnsi="Consolas"/>
          <w:color w:val="374151"/>
          <w:sz w:val="19"/>
          <w:szCs w:val="19"/>
        </w:rPr>
        <w:t xml:space="preserve">rpfvl</w:t>
      </w:r>
      <w:r>
        <w:t xml:space="preserve"> (verified real-property loss) are zero for 83% of applicants and heavily right-skewed for the rest.</w:t>
      </w:r>
    </w:p>
    <w:p>
      <w:pPr>
        <w:pStyle w:val="ListParagraph"/>
        <w:numPr>
          <w:ilvl w:val="0"/>
          <w:numId w:val="2"/>
        </w:numPr>
        <w:spacing w:after="60"/>
      </w:pPr>
      <w:r>
        <w:rPr>
          <w:b/>
          <w:bCs/>
        </w:rPr>
        <w:t xml:space="preserve">High cardinality:</w:t>
      </w:r>
      <w:r>
        <w:t xml:space="preserve"> ZIP (about 560 values) and census block group (about 3,000).</w:t>
      </w:r>
    </w:p>
    <w:p>
      <w:pPr>
        <w:keepNext/>
        <w:spacing w:after="40" w:before="120"/>
        <w:jc w:val="center"/>
      </w:pPr>
      <w:r>
        <w:drawing>
          <wp:inline distT="0" distB="0" distL="0" distR="0">
            <wp:extent cx="493776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7760" cy="2619375"/>
                    </a:xfrm>
                    <a:prstGeom prst="rect">
                      <a:avLst/>
                    </a:prstGeom>
                  </pic:spPr>
                </pic:pic>
              </a:graphicData>
            </a:graphic>
          </wp:inline>
        </w:drawing>
      </w:r>
    </w:p>
    <w:p>
      <w:pPr>
        <w:spacing w:after="200"/>
        <w:jc w:val="center"/>
      </w:pPr>
      <w:r>
        <w:rPr>
          <w:i/>
          <w:iCs/>
          <w:color w:val="6B7280"/>
          <w:sz w:val="18"/>
          <w:szCs w:val="18"/>
        </w:rPr>
        <w:t xml:space="preserve">Figure 3.3. Age, household size, ownership and registration method.</w:t>
      </w:r>
    </w:p>
    <w:p>
      <w:pPr>
        <w:keepNext/>
        <w:pBdr>
          <w:left w:val="single" w:color="10B981" w:sz="18" w:space="8"/>
        </w:pBdr>
        <w:shd w:fill="ECFDF5" w:color="auto" w:val="clear"/>
        <w:spacing w:after="180" w:before="60"/>
        <w:ind w:left="160" w:right="160"/>
      </w:pPr>
      <w:r>
        <w:rPr>
          <w:b/>
          <w:bCs/>
          <w:color w:val="047857"/>
        </w:rPr>
        <w:t xml:space="preserve">ML takeaway  </w:t>
      </w:r>
      <w:r>
        <w:t xml:space="preserve">log-transform skewed columns and add "has damage" flags; use frequency or target encoding instead of one-hot for geography (§4.2).</w:t>
      </w:r>
    </w:p>
    <w:p>
      <w:pPr>
        <w:pStyle w:val="Heading2"/>
      </w:pPr>
      <w:r>
        <w:t xml:space="preserve">3.5 Relationships with the target</w:t>
      </w:r>
    </w:p>
    <w:p>
      <w:pPr>
        <w:pStyle w:val="ListParagraph"/>
        <w:numPr>
          <w:ilvl w:val="0"/>
          <w:numId w:val="2"/>
        </w:numPr>
        <w:spacing w:after="60"/>
      </w:pPr>
      <w:r>
        <w:rPr>
          <w:b/>
          <w:bCs/>
        </w:rPr>
        <w:t xml:space="preserve">Primary residence</w:t>
      </w:r>
      <w:r>
        <w:t xml:space="preserve"> acts like a hard rule: non-primary homes are about 0.4% eligible.</w:t>
      </w:r>
    </w:p>
    <w:p>
      <w:pPr>
        <w:pStyle w:val="ListParagraph"/>
        <w:numPr>
          <w:ilvl w:val="0"/>
          <w:numId w:val="2"/>
        </w:numPr>
        <w:spacing w:after="60"/>
      </w:pPr>
      <w:r>
        <w:rPr>
          <w:b/>
          <w:bCs/>
        </w:rPr>
        <w:t xml:space="preserve">Emergency needs reported:</w:t>
      </w:r>
      <w:r>
        <w:t xml:space="preserve"> 66% eligible vs 34% if not.</w:t>
      </w:r>
    </w:p>
    <w:p>
      <w:pPr>
        <w:pStyle w:val="ListParagraph"/>
        <w:numPr>
          <w:ilvl w:val="0"/>
          <w:numId w:val="2"/>
        </w:numPr>
        <w:spacing w:after="60"/>
      </w:pPr>
      <w:r>
        <w:rPr>
          <w:b/>
          <w:bCs/>
        </w:rPr>
        <w:t xml:space="preserve">Homeowners insurance</w:t>
      </w:r>
      <w:r>
        <w:t xml:space="preserve"> lowers eligibility (47% vs 55%); flood insurance barely matters.</w:t>
      </w:r>
    </w:p>
    <w:p>
      <w:pPr>
        <w:pStyle w:val="ListParagraph"/>
        <w:numPr>
          <w:ilvl w:val="0"/>
          <w:numId w:val="2"/>
        </w:numPr>
        <w:spacing w:after="60"/>
      </w:pPr>
      <w:r>
        <w:rPr>
          <w:b/>
          <w:bCs/>
        </w:rPr>
        <w:t xml:space="preserve">Income:</w:t>
      </w:r>
      <w:r>
        <w:t xml:space="preserve"> eligibility falls from 61% (under $15k) to 45% (over $175k), but the "$0" group is lowest (42%).</w:t>
      </w:r>
    </w:p>
    <w:p>
      <w:pPr>
        <w:pStyle w:val="ListParagraph"/>
        <w:numPr>
          <w:ilvl w:val="0"/>
          <w:numId w:val="2"/>
        </w:numPr>
        <w:spacing w:after="60"/>
      </w:pPr>
      <w:r>
        <w:rPr>
          <w:b/>
          <w:bCs/>
        </w:rPr>
        <w:t xml:space="preserve">Owner vs renter:</w:t>
      </w:r>
      <w:r>
        <w:t xml:space="preserve"> almost no difference (51% vs 50%).</w:t>
      </w:r>
    </w:p>
    <w:p>
      <w:pPr>
        <w:pStyle w:val="ListParagraph"/>
        <w:numPr>
          <w:ilvl w:val="0"/>
          <w:numId w:val="2"/>
        </w:numPr>
        <w:spacing w:after="60"/>
      </w:pPr>
      <w:r>
        <w:rPr>
          <w:b/>
          <w:bCs/>
        </w:rPr>
        <w:t xml:space="preserve">Inspection (Tier 2):</w:t>
      </w:r>
      <w:r>
        <w:t xml:space="preserve"> 73% eligible if completed vs 38% otherwise; unverified occupancy is under 1%.</w:t>
      </w:r>
    </w:p>
    <w:p>
      <w:pPr>
        <w:pStyle w:val="ListParagraph"/>
        <w:numPr>
          <w:ilvl w:val="0"/>
          <w:numId w:val="2"/>
        </w:numPr>
        <w:spacing w:after="60"/>
      </w:pPr>
      <w:r>
        <w:rPr>
          <w:b/>
          <w:bCs/>
        </w:rPr>
        <w:t xml:space="preserve">Place and time:</w:t>
      </w:r>
      <w:r>
        <w:t xml:space="preserve"> 43% to 62% across the 22 largest ZIPs (Figure 3.5), and it shifts by week (Figure 3.6).</w:t>
      </w:r>
    </w:p>
    <w:p>
      <w:pPr>
        <w:keepNext/>
        <w:spacing w:after="40" w:before="120"/>
        <w:jc w:val="center"/>
      </w:pPr>
      <w:r>
        <w:drawing>
          <wp:inline distT="0" distB="0" distL="0" distR="0">
            <wp:extent cx="493776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3914775"/>
                    </a:xfrm>
                    <a:prstGeom prst="rect">
                      <a:avLst/>
                    </a:prstGeom>
                  </pic:spPr>
                </pic:pic>
              </a:graphicData>
            </a:graphic>
          </wp:inline>
        </w:drawing>
      </w:r>
    </w:p>
    <w:p>
      <w:pPr>
        <w:spacing w:after="200"/>
        <w:jc w:val="center"/>
      </w:pPr>
      <w:r>
        <w:rPr>
          <w:i/>
          <w:iCs/>
          <w:color w:val="6B7280"/>
          <w:sz w:val="18"/>
          <w:szCs w:val="18"/>
        </w:rPr>
        <w:t xml:space="preserve">Figure 3.4. Eligibility rate within each category of key features.</w:t>
      </w:r>
    </w:p>
    <w:p>
      <w:pPr>
        <w:keepNext/>
        <w:spacing w:after="40" w:before="120"/>
        <w:jc w:val="center"/>
      </w:pPr>
      <w:r>
        <w:drawing>
          <wp:inline distT="0" distB="0" distL="0" distR="0">
            <wp:extent cx="420624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06240" cy="2724150"/>
                    </a:xfrm>
                    <a:prstGeom prst="rect">
                      <a:avLst/>
                    </a:prstGeom>
                  </pic:spPr>
                </pic:pic>
              </a:graphicData>
            </a:graphic>
          </wp:inline>
        </w:drawing>
      </w:r>
    </w:p>
    <w:p>
      <w:pPr>
        <w:spacing w:after="200"/>
        <w:jc w:val="center"/>
      </w:pPr>
      <w:r>
        <w:rPr>
          <w:i/>
          <w:iCs/>
          <w:color w:val="6B7280"/>
          <w:sz w:val="18"/>
          <w:szCs w:val="18"/>
        </w:rPr>
        <w:t xml:space="preserve">Figure 3.5. Eligibility across the 22 largest ZIP codes.</w:t>
      </w:r>
    </w:p>
    <w:p>
      <w:pPr>
        <w:keepNext/>
        <w:spacing w:after="40" w:before="120"/>
        <w:jc w:val="center"/>
      </w:pPr>
      <w:r>
        <w:drawing>
          <wp:inline distT="0" distB="0" distL="0" distR="0">
            <wp:extent cx="420624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06240" cy="2295525"/>
                    </a:xfrm>
                    <a:prstGeom prst="rect">
                      <a:avLst/>
                    </a:prstGeom>
                  </pic:spPr>
                </pic:pic>
              </a:graphicData>
            </a:graphic>
          </wp:inline>
        </w:drawing>
      </w:r>
    </w:p>
    <w:p>
      <w:pPr>
        <w:spacing w:after="200"/>
        <w:jc w:val="center"/>
      </w:pPr>
      <w:r>
        <w:rPr>
          <w:i/>
          <w:iCs/>
          <w:color w:val="6B7280"/>
          <w:sz w:val="18"/>
          <w:szCs w:val="18"/>
        </w:rPr>
        <w:t xml:space="preserve">Figure 3.6. Eligibility by week of application.</w:t>
      </w:r>
    </w:p>
    <w:p>
      <w:pPr>
        <w:keepNext/>
        <w:pBdr>
          <w:left w:val="single" w:color="10B981" w:sz="18" w:space="8"/>
        </w:pBdr>
        <w:shd w:fill="ECFDF5" w:color="auto" w:val="clear"/>
        <w:spacing w:after="180" w:before="60"/>
        <w:ind w:left="160" w:right="160"/>
      </w:pPr>
      <w:r>
        <w:rPr>
          <w:b/>
          <w:bCs/>
          <w:color w:val="047857"/>
        </w:rPr>
        <w:t xml:space="preserve">ML takeaway  </w:t>
      </w:r>
      <w:r>
        <w:t xml:space="preserve">strong signals are rule-like and non-linear (the "$0" income break, the residence cutoff), which favors trees. Income stays an unordered category.</w:t>
      </w:r>
    </w:p>
    <w:p>
      <w:pPr>
        <w:pStyle w:val="Heading2"/>
      </w:pPr>
      <w:r>
        <w:t xml:space="preserve">3.6 Missing values</w:t>
      </w:r>
    </w:p>
    <w:p>
      <w:pPr>
        <w:spacing w:after="120"/>
      </w:pPr>
      <w:r>
        <w:t xml:space="preserve">19 columns have blanks, 11 of them candidate features (Figure 3.7). Six are over 10%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960"/>
      </w:tblGrid>
      <w:tr>
        <w:trPr>
          <w:tblHeader/>
        </w:trPr>
        <w:tc>
          <w:tcPr>
            <w:tcW w:type="dxa" w:w="33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COLUMN</w:t>
            </w:r>
          </w:p>
        </w:tc>
        <w:tc>
          <w:tcPr>
            <w:tcW w:type="dxa" w:w="11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MISSING</w:t>
            </w:r>
          </w:p>
        </w:tc>
        <w:tc>
          <w:tcPr>
            <w:tcW w:type="dxa" w:w="49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LIKELY REASON</w:t>
            </w:r>
          </w:p>
        </w:tc>
      </w:tr>
      <w:tr>
        <w:tc>
          <w:tcPr>
            <w:tcW w:type="dxa" w:w="33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rFonts w:ascii="Consolas" w:cs="Consolas" w:eastAsia="Consolas" w:hAnsi="Consolas"/>
                <w:color w:val="374151"/>
                <w:sz w:val="19"/>
                <w:szCs w:val="19"/>
              </w:rPr>
              <w:t xml:space="preserve">renterDamageLevel</w:t>
            </w:r>
          </w:p>
        </w:tc>
        <w:tc>
          <w:tcPr>
            <w:tcW w:type="dxa" w:w="11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96%</w:t>
            </w:r>
          </w:p>
        </w:tc>
        <w:tc>
          <w:tcPr>
            <w:tcW w:type="dxa" w:w="4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Only for renter dwellings</w:t>
            </w:r>
          </w:p>
        </w:tc>
      </w:tr>
      <w:tr>
        <w:tc>
          <w:tcPr>
            <w:tcW w:type="dxa" w:w="33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rFonts w:ascii="Consolas" w:cs="Consolas" w:eastAsia="Consolas" w:hAnsi="Consolas"/>
                <w:color w:val="374151"/>
                <w:sz w:val="19"/>
                <w:szCs w:val="19"/>
              </w:rPr>
              <w:t xml:space="preserve">highWaterLocation</w:t>
            </w:r>
          </w:p>
        </w:tc>
        <w:tc>
          <w:tcPr>
            <w:tcW w:type="dxa" w:w="11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88%</w:t>
            </w:r>
          </w:p>
        </w:tc>
        <w:tc>
          <w:tcPr>
            <w:tcW w:type="dxa" w:w="4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Only where there was a flood mark</w:t>
            </w:r>
          </w:p>
        </w:tc>
      </w:tr>
      <w:tr>
        <w:tc>
          <w:tcPr>
            <w:tcW w:type="dxa" w:w="33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rFonts w:ascii="Consolas" w:cs="Consolas" w:eastAsia="Consolas" w:hAnsi="Consolas"/>
                <w:color w:val="374151"/>
                <w:sz w:val="19"/>
                <w:szCs w:val="19"/>
              </w:rPr>
              <w:t xml:space="preserve">shelterNeed</w:t>
            </w:r>
          </w:p>
        </w:tc>
        <w:tc>
          <w:tcPr>
            <w:tcW w:type="dxa" w:w="11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82%</w:t>
            </w:r>
          </w:p>
        </w:tc>
        <w:tc>
          <w:tcPr>
            <w:tcW w:type="dxa" w:w="4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Almost always True when present, so blank ≈ not reported</w:t>
            </w:r>
          </w:p>
        </w:tc>
      </w:tr>
      <w:tr>
        <w:tc>
          <w:tcPr>
            <w:tcW w:type="dxa" w:w="33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rFonts w:ascii="Consolas" w:cs="Consolas" w:eastAsia="Consolas" w:hAnsi="Consolas"/>
                <w:color w:val="374151"/>
                <w:sz w:val="19"/>
                <w:szCs w:val="19"/>
              </w:rPr>
              <w:t xml:space="preserve">habitabilityRepairsRequired</w:t>
            </w:r>
          </w:p>
        </w:tc>
        <w:tc>
          <w:tcPr>
            <w:tcW w:type="dxa" w:w="11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73%</w:t>
            </w:r>
          </w:p>
        </w:tc>
        <w:tc>
          <w:tcPr>
            <w:tcW w:type="dxa" w:w="4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Mostly unfilled; being filled is itself a signal [TEAM: confirm]</w:t>
            </w:r>
          </w:p>
        </w:tc>
      </w:tr>
      <w:tr>
        <w:tc>
          <w:tcPr>
            <w:tcW w:type="dxa" w:w="33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rFonts w:ascii="Consolas" w:cs="Consolas" w:eastAsia="Consolas" w:hAnsi="Consolas"/>
                <w:color w:val="374151"/>
                <w:sz w:val="19"/>
                <w:szCs w:val="19"/>
              </w:rPr>
              <w:t xml:space="preserve">foodNeed</w:t>
            </w:r>
          </w:p>
        </w:tc>
        <w:tc>
          <w:tcPr>
            <w:tcW w:type="dxa" w:w="11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52%</w:t>
            </w:r>
          </w:p>
        </w:tc>
        <w:tc>
          <w:tcPr>
            <w:tcW w:type="dxa" w:w="4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Same pattern as shelterNeed</w:t>
            </w:r>
          </w:p>
        </w:tc>
      </w:tr>
      <w:tr>
        <w:tc>
          <w:tcPr>
            <w:tcW w:type="dxa" w:w="33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rFonts w:ascii="Consolas" w:cs="Consolas" w:eastAsia="Consolas" w:hAnsi="Consolas"/>
                <w:color w:val="374151"/>
                <w:sz w:val="19"/>
                <w:szCs w:val="19"/>
              </w:rPr>
              <w:t xml:space="preserve">selfAssessmentInformation</w:t>
            </w:r>
          </w:p>
        </w:tc>
        <w:tc>
          <w:tcPr>
            <w:tcW w:type="dxa" w:w="11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15%</w:t>
            </w:r>
          </w:p>
        </w:tc>
        <w:tc>
          <w:tcPr>
            <w:tcW w:type="dxa" w:w="4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Applicant's own rating, sometimes skipped</w:t>
            </w:r>
          </w:p>
        </w:tc>
      </w:tr>
    </w:tbl>
    <w:p>
      <w:pPr>
        <w:spacing w:after="80"/>
      </w:pPr>
    </w:p>
    <w:p>
      <w:pPr>
        <w:spacing w:after="120"/>
      </w:pPr>
      <w:r>
        <w:t xml:space="preserve">Many blanks are structural (question doesn't apply) or informative (blank = "not reported"), so the data is </w:t>
      </w:r>
      <w:r>
        <w:rPr>
          <w:b/>
          <w:bCs/>
        </w:rPr>
        <w:t xml:space="preserve">not</w:t>
      </w:r>
      <w:r>
        <w:t xml:space="preserve"> missing at random.</w:t>
      </w:r>
    </w:p>
    <w:p>
      <w:pPr>
        <w:keepNext/>
        <w:spacing w:after="40" w:before="120"/>
        <w:jc w:val="center"/>
      </w:pPr>
      <w:r>
        <w:drawing>
          <wp:inline distT="0" distB="0" distL="0" distR="0">
            <wp:extent cx="420624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06240" cy="2324100"/>
                    </a:xfrm>
                    <a:prstGeom prst="rect">
                      <a:avLst/>
                    </a:prstGeom>
                  </pic:spPr>
                </pic:pic>
              </a:graphicData>
            </a:graphic>
          </wp:inline>
        </w:drawing>
      </w:r>
    </w:p>
    <w:p>
      <w:pPr>
        <w:spacing w:after="200"/>
        <w:jc w:val="center"/>
      </w:pPr>
      <w:r>
        <w:rPr>
          <w:i/>
          <w:iCs/>
          <w:color w:val="6B7280"/>
          <w:sz w:val="18"/>
          <w:szCs w:val="18"/>
        </w:rPr>
        <w:t xml:space="preserve">Figure 3.7. Share of missing values per column.</w:t>
      </w:r>
    </w:p>
    <w:p>
      <w:pPr>
        <w:keepNext/>
        <w:pBdr>
          <w:left w:val="single" w:color="10B981" w:sz="18" w:space="8"/>
        </w:pBdr>
        <w:shd w:fill="ECFDF5" w:color="auto" w:val="clear"/>
        <w:spacing w:after="180" w:before="60"/>
        <w:ind w:left="160" w:right="160"/>
      </w:pPr>
      <w:r>
        <w:rPr>
          <w:b/>
          <w:bCs/>
          <w:color w:val="047857"/>
        </w:rPr>
        <w:t xml:space="preserve">ML takeaway  </w:t>
      </w:r>
      <w:r>
        <w:t xml:space="preserve">mean-filling would erase real signal. Add missing-indicator features and impute inside the pipeline, fit on training data only.</w:t>
      </w:r>
    </w:p>
    <w:p>
      <w:pPr>
        <w:pStyle w:val="Heading2"/>
      </w:pPr>
      <w:r>
        <w:t xml:space="preserve">3.7 Correlations</w:t>
      </w:r>
    </w:p>
    <w:p>
      <w:pPr>
        <w:spacing w:after="120"/>
      </w:pPr>
      <w:r>
        <w:t xml:space="preserve">No single numeric feature is strongly correlated with eligibility (max ≈ 0.36, Figure 3.8). Several pairs are near-duplicates (Figure 3.9): inspection issued vs completed (1.00), real-property loss vs flood damage (0.97), reported damage vs home damage (0.83).</w:t>
      </w:r>
    </w:p>
    <w:p>
      <w:pPr>
        <w:keepNext/>
        <w:spacing w:after="40" w:before="120"/>
        <w:jc w:val="center"/>
      </w:pPr>
      <w:r>
        <w:drawing>
          <wp:inline distT="0" distB="0" distL="0" distR="0">
            <wp:extent cx="420624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06240" cy="2390775"/>
                    </a:xfrm>
                    <a:prstGeom prst="rect">
                      <a:avLst/>
                    </a:prstGeom>
                  </pic:spPr>
                </pic:pic>
              </a:graphicData>
            </a:graphic>
          </wp:inline>
        </w:drawing>
      </w:r>
    </w:p>
    <w:p>
      <w:pPr>
        <w:spacing w:after="200"/>
        <w:jc w:val="center"/>
      </w:pPr>
      <w:r>
        <w:rPr>
          <w:i/>
          <w:iCs/>
          <w:color w:val="6B7280"/>
          <w:sz w:val="18"/>
          <w:szCs w:val="18"/>
        </w:rPr>
        <w:t xml:space="preserve">Figure 3.8. Correlation of each numeric feature with the target.</w:t>
      </w:r>
    </w:p>
    <w:p>
      <w:pPr>
        <w:keepNext/>
        <w:spacing w:after="40" w:before="120"/>
        <w:jc w:val="center"/>
      </w:pPr>
      <w:r>
        <w:drawing>
          <wp:inline distT="0" distB="0" distL="0" distR="0">
            <wp:extent cx="402336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23360" cy="3562350"/>
                    </a:xfrm>
                    <a:prstGeom prst="rect">
                      <a:avLst/>
                    </a:prstGeom>
                  </pic:spPr>
                </pic:pic>
              </a:graphicData>
            </a:graphic>
          </wp:inline>
        </w:drawing>
      </w:r>
    </w:p>
    <w:p>
      <w:pPr>
        <w:spacing w:after="200"/>
        <w:jc w:val="center"/>
      </w:pPr>
      <w:r>
        <w:rPr>
          <w:i/>
          <w:iCs/>
          <w:color w:val="6B7280"/>
          <w:sz w:val="18"/>
          <w:szCs w:val="18"/>
        </w:rPr>
        <w:t xml:space="preserve">Figure 3.9. Feature-to-feature correlations.</w:t>
      </w:r>
    </w:p>
    <w:p>
      <w:pPr>
        <w:keepNext/>
        <w:pBdr>
          <w:left w:val="single" w:color="10B981" w:sz="18" w:space="8"/>
        </w:pBdr>
        <w:shd w:fill="ECFDF5" w:color="auto" w:val="clear"/>
        <w:spacing w:after="180" w:before="60"/>
        <w:ind w:left="160" w:right="160"/>
      </w:pPr>
      <w:r>
        <w:rPr>
          <w:b/>
          <w:bCs/>
          <w:color w:val="047857"/>
        </w:rPr>
        <w:t xml:space="preserve">ML takeaway  </w:t>
      </w:r>
      <w:r>
        <w:t xml:space="preserve">weak single correlations but a 0.90 AUC baseline means the signal lives in interactions. Drop one of each duplicate pair for linear models; trees don't care.</w:t>
      </w:r>
    </w:p>
    <w:p>
      <w:pPr>
        <w:pStyle w:val="Heading2"/>
      </w:pPr>
      <w:r>
        <w:t xml:space="preserve">3.8 Data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CHECK</w:t>
            </w:r>
          </w:p>
        </w:tc>
        <w:tc>
          <w:tcPr>
            <w:tcW w:type="dxa" w:w="47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RESULT</w:t>
            </w:r>
          </w:p>
        </w:tc>
        <w:tc>
          <w:tcPr>
            <w:tcW w:type="dxa" w:w="26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DECISION</w:t>
            </w:r>
          </w:p>
        </w:tc>
      </w:tr>
      <w:tr>
        <w:tc>
          <w:tcPr>
            <w:tcW w:type="dxa" w:w="2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Constant columns</w:t>
            </w:r>
          </w:p>
        </w:tc>
        <w:tc>
          <w:tcPr>
            <w:tcW w:type="dxa" w:w="4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14 columns, one value each (one disaster, one county)</w:t>
            </w:r>
          </w:p>
        </w:tc>
        <w:tc>
          <w:tcPr>
            <w:tcW w:type="dxa" w:w="2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Drop</w:t>
            </w:r>
          </w:p>
        </w:tc>
      </w:tr>
      <w:tr>
        <w:tc>
          <w:tcPr>
            <w:tcW w:type="dxa" w:w="2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Duplicates</w:t>
            </w:r>
          </w:p>
        </w:tc>
        <w:tc>
          <w:tcPr>
            <w:tcW w:type="dxa" w:w="4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407 rows (0.21%) identical on non-ID columns; likely different households</w:t>
            </w:r>
          </w:p>
        </w:tc>
        <w:tc>
          <w:tcPr>
            <w:tcW w:type="dxa" w:w="2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Keep</w:t>
            </w:r>
          </w:p>
        </w:tc>
      </w:tr>
      <w:tr>
        <w:tc>
          <w:tcPr>
            <w:tcW w:type="dxa" w:w="2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Location errors</w:t>
            </w:r>
          </w:p>
        </w:tc>
        <w:tc>
          <w:tcPr>
            <w:tcW w:type="dxa" w:w="4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6,357 rows (3.3%) with a block outside Lee (2,707 NO_INTERSECT); 17 non-FL ZIPs</w:t>
            </w:r>
          </w:p>
        </w:tc>
        <w:tc>
          <w:tcPr>
            <w:tcW w:type="dxa" w:w="2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Keep; NO_INTERSECT as a category</w:t>
            </w:r>
          </w:p>
        </w:tc>
      </w:tr>
      <w:tr>
        <w:tc>
          <w:tcPr>
            <w:tcW w:type="dxa" w:w="2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City names</w:t>
            </w:r>
          </w:p>
        </w:tc>
        <w:tc>
          <w:tcPr>
            <w:tcW w:type="dxa" w:w="4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Hand-typed variants (FT MYERS, FT MYERS BCH)</w:t>
            </w:r>
          </w:p>
        </w:tc>
        <w:tc>
          <w:tcPr>
            <w:tcW w:type="dxa" w:w="2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Drop column</w:t>
            </w:r>
          </w:p>
        </w:tc>
      </w:tr>
      <w:tr>
        <w:tc>
          <w:tcPr>
            <w:tcW w:type="dxa" w:w="2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Implausible values</w:t>
            </w:r>
          </w:p>
        </w:tc>
        <w:tc>
          <w:tcPr>
            <w:tcW w:type="dxa" w:w="4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Water depth of 960 in (80 ft)</w:t>
            </w:r>
          </w:p>
        </w:tc>
        <w:tc>
          <w:tcPr>
            <w:tcW w:type="dxa" w:w="2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Cap</w:t>
            </w:r>
          </w:p>
        </w:tc>
      </w:tr>
      <w:tr>
        <w:tc>
          <w:tcPr>
            <w:tcW w:type="dxa" w:w="2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Dates</w:t>
            </w:r>
          </w:p>
        </w:tc>
        <w:tc>
          <w:tcPr>
            <w:tcW w:type="dxa" w:w="4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2 applications before the declaration</w:t>
            </w:r>
          </w:p>
        </w:tc>
        <w:tc>
          <w:tcPr>
            <w:tcW w:type="dxa" w:w="2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Keep</w:t>
            </w:r>
          </w:p>
        </w:tc>
      </w:tr>
    </w:tbl>
    <w:p>
      <w:pPr>
        <w:spacing w:after="80"/>
      </w:pPr>
    </w:p>
    <w:p>
      <w:pPr>
        <w:keepNext/>
        <w:pBdr>
          <w:left w:val="single" w:color="10B981" w:sz="18" w:space="8"/>
        </w:pBdr>
        <w:shd w:fill="ECFDF5" w:color="auto" w:val="clear"/>
        <w:spacing w:after="180" w:before="60"/>
        <w:ind w:left="160" w:right="160"/>
      </w:pPr>
      <w:r>
        <w:rPr>
          <w:b/>
          <w:bCs/>
          <w:color w:val="047857"/>
        </w:rPr>
        <w:t xml:space="preserve">ML takeaway  </w:t>
      </w:r>
      <w:r>
        <w:t xml:space="preserve">quality is good overall, and every issue has a documented fix in §4.1.</w:t>
      </w:r>
    </w:p>
    <w:p>
      <w:pPr>
        <w:pStyle w:val="Heading2"/>
      </w:pPr>
      <w:r>
        <w:t xml:space="preserve">3.9 Challenges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CHALLENGE</w:t>
            </w:r>
          </w:p>
        </w:tc>
        <w:tc>
          <w:tcPr>
            <w:tcW w:type="dxa" w:w="53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WHY IT MATTERS FOR ML</w:t>
            </w:r>
          </w:p>
        </w:tc>
      </w:tr>
      <w:tr>
        <w:tc>
          <w:tcPr>
            <w:tcW w:type="dxa" w:w="4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Data leakage</w:t>
            </w:r>
          </w:p>
        </w:tc>
        <w:tc>
          <w:tcPr>
            <w:tcW w:type="dxa" w:w="53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Inflated, meaningless scores</w:t>
            </w:r>
          </w:p>
        </w:tc>
      </w:tr>
      <w:tr>
        <w:tc>
          <w:tcPr>
            <w:tcW w:type="dxa" w:w="4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One disaster, one county</w:t>
            </w:r>
          </w:p>
        </w:tc>
        <w:tc>
          <w:tcPr>
            <w:tcW w:type="dxa" w:w="53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Limited generalization</w:t>
            </w:r>
          </w:p>
        </w:tc>
      </w:tr>
      <w:tr>
        <w:tc>
          <w:tcPr>
            <w:tcW w:type="dxa" w:w="4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Valid registrants only</w:t>
            </w:r>
          </w:p>
        </w:tc>
        <w:tc>
          <w:tcPr>
            <w:tcW w:type="dxa" w:w="53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Selection bias</w:t>
            </w:r>
          </w:p>
        </w:tc>
      </w:tr>
      <w:tr>
        <w:tc>
          <w:tcPr>
            <w:tcW w:type="dxa" w:w="4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Label bundles many denial reasons</w:t>
            </w:r>
          </w:p>
        </w:tc>
        <w:tc>
          <w:tcPr>
            <w:tcW w:type="dxa" w:w="53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Label noise</w:t>
            </w:r>
          </w:p>
        </w:tc>
      </w:tr>
      <w:tr>
        <w:tc>
          <w:tcPr>
            <w:tcW w:type="dxa" w:w="4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Skew, structural missingness</w:t>
            </w:r>
          </w:p>
        </w:tc>
        <w:tc>
          <w:tcPr>
            <w:tcW w:type="dxa" w:w="53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Needs transforms and missing indicators</w:t>
            </w:r>
          </w:p>
        </w:tc>
      </w:tr>
      <w:tr>
        <w:tc>
          <w:tcPr>
            <w:tcW w:type="dxa" w:w="4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High-cardinality geography</w:t>
            </w:r>
          </w:p>
        </w:tc>
        <w:tc>
          <w:tcPr>
            <w:tcW w:type="dxa" w:w="53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Encoding can overfit unless fit inside CV folds</w:t>
            </w:r>
          </w:p>
        </w:tc>
      </w:tr>
      <w:tr>
        <w:tc>
          <w:tcPr>
            <w:tcW w:type="dxa" w:w="4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Near-duplicate features</w:t>
            </w:r>
          </w:p>
        </w:tc>
        <w:tc>
          <w:tcPr>
            <w:tcW w:type="dxa" w:w="53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Multicollinearity for linear models</w:t>
            </w:r>
          </w:p>
        </w:tc>
      </w:tr>
      <w:tr>
        <w:tc>
          <w:tcPr>
            <w:tcW w:type="dxa" w:w="4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Outcomes follow FEMA rules</w:t>
            </w:r>
          </w:p>
        </w:tc>
        <w:tc>
          <w:tcPr>
            <w:tcW w:type="dxa" w:w="53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A high score isn't proof the model understands need</w:t>
            </w:r>
          </w:p>
        </w:tc>
      </w:tr>
    </w:tbl>
    <w:p>
      <w:pPr>
        <w:spacing w:after="80"/>
      </w:pPr>
    </w:p>
    <w:p>
      <w:pPr>
        <w:pStyle w:val="Heading1"/>
      </w:pPr>
      <w:r>
        <w:t xml:space="preserve">4. Data Preparation Plan</w:t>
      </w:r>
    </w:p>
    <w:p>
      <w:pPr>
        <w:keepNext/>
        <w:spacing w:after="160"/>
      </w:pPr>
      <w:r>
        <w:rPr>
          <w:b/>
          <w:bCs/>
          <w:color w:val="FFFFFF"/>
          <w:sz w:val="17"/>
          <w:szCs w:val="17"/>
          <w:shd w:fill="1D4ED8" w:color="auto" w:val="clear"/>
        </w:rPr>
        <w:t xml:space="preserve"> DANNY </w:t>
      </w:r>
      <w:r>
        <w:rPr>
          <w:color w:val="6B7280"/>
          <w:sz w:val="18"/>
          <w:szCs w:val="18"/>
        </w:rPr>
        <w:t xml:space="preserve">   2–3 pages  ·  3 pts</w:t>
      </w:r>
    </w:p>
    <w:p>
      <w:pPr>
        <w:keepNext/>
        <w:pBdr>
          <w:left w:val="single" w:color="F59E0B" w:sz="18" w:space="8"/>
        </w:pBdr>
        <w:shd w:fill="FFF7E6" w:color="auto" w:val="clear"/>
        <w:spacing w:after="180" w:before="60"/>
        <w:ind w:left="160" w:right="160"/>
      </w:pPr>
      <w:r>
        <w:rPr>
          <w:b/>
          <w:bCs/>
          <w:color w:val="B45309"/>
        </w:rPr>
        <w:t xml:space="preserve">OWNER NOTE  </w:t>
      </w:r>
      <w:r>
        <w:t xml:space="preserve">Each row in 4.1 should answer a problem from §3. The cleaning code already exists: src/features/prepare.py.</w:t>
      </w:r>
    </w:p>
    <w:p>
      <w:pPr>
        <w:pStyle w:val="Heading2"/>
      </w:pPr>
      <w:r>
        <w:t xml:space="preserve">4.1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ISSUE (FROM §3)</w:t>
            </w:r>
          </w:p>
        </w:tc>
        <w:tc>
          <w:tcPr>
            <w:tcW w:type="dxa" w:w="57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DECISION</w:t>
            </w:r>
          </w:p>
        </w:tc>
      </w:tr>
      <w:tr>
        <w:tc>
          <w:tcPr>
            <w:tcW w:type="dxa" w:w="3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Leakage, IDs, constants (58 cols)</w:t>
            </w:r>
          </w:p>
        </w:tc>
        <w:tc>
          <w:tcPr>
            <w:tcW w:type="dxa" w:w="5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Drop (list in </w:t>
            </w:r>
            <w:r>
              <w:rPr>
                <w:rFonts w:ascii="Consolas" w:cs="Consolas" w:eastAsia="Consolas" w:hAnsi="Consolas"/>
                <w:color w:val="374151"/>
                <w:sz w:val="19"/>
                <w:szCs w:val="19"/>
              </w:rPr>
              <w:t xml:space="preserve">src/utils/columns.py</w:t>
            </w:r>
            <w:r>
              <w:rPr>
                <w:sz w:val="19"/>
                <w:szCs w:val="19"/>
              </w:rPr>
              <w:t xml:space="preserve">)</w:t>
            </w:r>
          </w:p>
        </w:tc>
      </w:tr>
      <w:tr>
        <w:tc>
          <w:tcPr>
            <w:tcW w:type="dxa" w:w="3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rFonts w:ascii="Consolas" w:cs="Consolas" w:eastAsia="Consolas" w:hAnsi="Consolas"/>
                <w:color w:val="374151"/>
                <w:sz w:val="19"/>
                <w:szCs w:val="19"/>
              </w:rPr>
              <w:t xml:space="preserve">damagedCity</w:t>
            </w:r>
            <w:r>
              <w:rPr>
                <w:sz w:val="19"/>
                <w:szCs w:val="19"/>
              </w:rPr>
              <w:t xml:space="preserve"> (hand-typed)</w:t>
            </w:r>
          </w:p>
        </w:tc>
        <w:tc>
          <w:tcPr>
            <w:tcW w:type="dxa" w:w="5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Drop; use ZIP and census block</w:t>
            </w:r>
          </w:p>
        </w:tc>
      </w:tr>
      <w:tr>
        <w:tc>
          <w:tcPr>
            <w:tcW w:type="dxa" w:w="3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Yes/No stored as text with blanks</w:t>
            </w:r>
          </w:p>
        </w:tc>
        <w:tc>
          <w:tcPr>
            <w:tcW w:type="dxa" w:w="5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Convert to 0/1; blanks stay missing, not 0</w:t>
            </w:r>
          </w:p>
        </w:tc>
      </w:tr>
      <w:tr>
        <w:tc>
          <w:tcPr>
            <w:tcW w:type="dxa" w:w="3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Ordered ranges (age, household counts)</w:t>
            </w:r>
          </w:p>
        </w:tc>
        <w:tc>
          <w:tcPr>
            <w:tcW w:type="dxa" w:w="5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Ordinal encoding ("&gt;5" becomes 6)</w:t>
            </w:r>
          </w:p>
        </w:tc>
      </w:tr>
      <w:tr>
        <w:tc>
          <w:tcPr>
            <w:tcW w:type="dxa" w:w="3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Income bracket</w:t>
            </w:r>
          </w:p>
        </w:tc>
        <w:tc>
          <w:tcPr>
            <w:tcW w:type="dxa" w:w="5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Unordered category (the "$0" group breaks the order)</w:t>
            </w:r>
          </w:p>
        </w:tc>
      </w:tr>
      <w:tr>
        <w:tc>
          <w:tcPr>
            <w:tcW w:type="dxa" w:w="3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Missing values</w:t>
            </w:r>
          </w:p>
        </w:tc>
        <w:tc>
          <w:tcPr>
            <w:tcW w:type="dxa" w:w="5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Not filled during cleaning. Indicators + median (linear) or native handling (boosting), fit on train only</w:t>
            </w:r>
          </w:p>
        </w:tc>
      </w:tr>
      <w:tr>
        <w:tc>
          <w:tcPr>
            <w:tcW w:type="dxa" w:w="3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Implausible values (waterLevel = 960)</w:t>
            </w:r>
          </w:p>
        </w:tc>
        <w:tc>
          <w:tcPr>
            <w:tcW w:type="dxa" w:w="5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Cap at a high percentile</w:t>
            </w:r>
          </w:p>
        </w:tc>
      </w:tr>
      <w:tr>
        <w:tc>
          <w:tcPr>
            <w:tcW w:type="dxa" w:w="3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Out-of-county blocks</w:t>
            </w:r>
          </w:p>
        </w:tc>
        <w:tc>
          <w:tcPr>
            <w:tcW w:type="dxa" w:w="5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Keep; NO_INTERSECT as its own category</w:t>
            </w:r>
          </w:p>
        </w:tc>
      </w:tr>
      <w:tr>
        <w:tc>
          <w:tcPr>
            <w:tcW w:type="dxa" w:w="3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Duplicate-looking rows</w:t>
            </w:r>
          </w:p>
        </w:tc>
        <w:tc>
          <w:tcPr>
            <w:tcW w:type="dxa" w:w="5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Keep (§3.8)</w:t>
            </w:r>
          </w:p>
        </w:tc>
      </w:tr>
    </w:tbl>
    <w:p>
      <w:pPr>
        <w:spacing w:after="80"/>
      </w:pPr>
    </w:p>
    <w:p>
      <w:pPr>
        <w:pStyle w:val="Heading2"/>
      </w:pPr>
      <w:r>
        <w:t xml:space="preserve">4.2 Feature engineering</w:t>
      </w:r>
    </w:p>
    <w:p>
      <w:pPr>
        <w:pStyle w:val="ListParagraph"/>
        <w:numPr>
          <w:ilvl w:val="0"/>
          <w:numId w:val="2"/>
        </w:numPr>
        <w:spacing w:after="60"/>
      </w:pPr>
      <w:r>
        <w:rPr>
          <w:rFonts w:ascii="Consolas" w:cs="Consolas" w:eastAsia="Consolas" w:hAnsi="Consolas"/>
          <w:color w:val="374151"/>
          <w:sz w:val="19"/>
          <w:szCs w:val="19"/>
        </w:rPr>
        <w:t xml:space="preserve">daysSinceLandfall</w:t>
      </w:r>
      <w:r>
        <w:t xml:space="preserve"> from the application date (built).</w:t>
      </w:r>
    </w:p>
    <w:p>
      <w:pPr>
        <w:pStyle w:val="ListParagraph"/>
        <w:numPr>
          <w:ilvl w:val="0"/>
          <w:numId w:val="2"/>
        </w:numPr>
        <w:spacing w:after="60"/>
      </w:pPr>
      <w:r>
        <w:rPr>
          <w:rFonts w:ascii="Consolas" w:cs="Consolas" w:eastAsia="Consolas" w:hAnsi="Consolas"/>
          <w:color w:val="374151"/>
          <w:sz w:val="19"/>
          <w:szCs w:val="19"/>
        </w:rPr>
        <w:t xml:space="preserve">log1p</w:t>
      </w:r>
      <w:r>
        <w:t xml:space="preserve"> on skewed dollar and damage columns, plus "has damage" flags.</w:t>
      </w:r>
    </w:p>
    <w:p>
      <w:pPr>
        <w:pStyle w:val="ListParagraph"/>
        <w:numPr>
          <w:ilvl w:val="0"/>
          <w:numId w:val="2"/>
        </w:numPr>
        <w:spacing w:after="60"/>
      </w:pPr>
      <w:r>
        <w:t xml:space="preserve">Missing indicators where blanks carry meaning.</w:t>
      </w:r>
    </w:p>
    <w:p>
      <w:pPr>
        <w:pStyle w:val="ListParagraph"/>
        <w:numPr>
          <w:ilvl w:val="0"/>
          <w:numId w:val="2"/>
        </w:numPr>
        <w:spacing w:after="60"/>
      </w:pPr>
      <w:r>
        <w:t xml:space="preserve">ZIP and census block: frequency encoding (used in baselines), target encoding tested inside CV folds.</w:t>
      </w:r>
    </w:p>
    <w:p>
      <w:pPr>
        <w:pStyle w:val="ListParagraph"/>
        <w:numPr>
          <w:ilvl w:val="0"/>
          <w:numId w:val="2"/>
        </w:numPr>
        <w:spacing w:after="60"/>
      </w:pPr>
      <w:r>
        <w:t xml:space="preserve">Group rare categories; drop one of each near-duplicate pair for linear models.</w:t>
      </w:r>
    </w:p>
    <w:p>
      <w:pPr>
        <w:pStyle w:val="ListParagraph"/>
        <w:numPr>
          <w:ilvl w:val="0"/>
          <w:numId w:val="2"/>
        </w:numPr>
        <w:spacing w:after="60"/>
      </w:pPr>
      <w:r>
        <w:t xml:space="preserve">Possible interaction: emergency needs × residence status.</w:t>
      </w:r>
    </w:p>
    <w:p>
      <w:pPr>
        <w:pStyle w:val="Heading2"/>
      </w:pPr>
      <w:r>
        <w:t xml:space="preserve">4.3 Transformation</w:t>
      </w:r>
    </w:p>
    <w:p>
      <w:pPr>
        <w:spacing w:after="120"/>
      </w:pPr>
      <w:r>
        <w:t xml:space="preserve">Scaling and one-hot encoding only for models that need them (logistic regression, distance-based methods); trees get unscaled data. Everything that learns from data (imputation, scaling, encoding) is fit on the training split inside a scikit-learn </w:t>
      </w:r>
      <w:r>
        <w:rPr>
          <w:rFonts w:ascii="Consolas" w:cs="Consolas" w:eastAsia="Consolas" w:hAnsi="Consolas"/>
          <w:color w:val="374151"/>
          <w:sz w:val="19"/>
          <w:szCs w:val="19"/>
        </w:rPr>
        <w:t xml:space="preserve">Pipeline</w:t>
      </w:r>
      <w:r>
        <w:t xml:space="preserve">, which prevents train–test contamination.</w:t>
      </w:r>
    </w:p>
    <w:p>
      <w:pPr>
        <w:pStyle w:val="Heading2"/>
      </w:pPr>
      <w:r>
        <w:t xml:space="preserve">4.4 Train / validation / test</w:t>
      </w:r>
    </w:p>
    <w:p>
      <w:pPr>
        <w:pStyle w:val="ListParagraph"/>
        <w:numPr>
          <w:ilvl w:val="0"/>
          <w:numId w:val="2"/>
        </w:numPr>
        <w:spacing w:after="60"/>
      </w:pPr>
      <w:r>
        <w:rPr>
          <w:b/>
          <w:bCs/>
        </w:rPr>
        <w:t xml:space="preserve">Stratified 60 / 20 / 20</w:t>
      </w:r>
      <w:r>
        <w:t xml:space="preserve"> with seed 42, so everyone gets the same split (</w:t>
      </w:r>
      <w:r>
        <w:rPr>
          <w:rFonts w:ascii="Consolas" w:cs="Consolas" w:eastAsia="Consolas" w:hAnsi="Consolas"/>
          <w:color w:val="374151"/>
          <w:sz w:val="19"/>
          <w:szCs w:val="19"/>
        </w:rPr>
        <w:t xml:space="preserve">split_data()</w:t>
      </w:r>
      <w:r>
        <w:t xml:space="preserve">).</w:t>
      </w:r>
    </w:p>
    <w:p>
      <w:pPr>
        <w:pStyle w:val="ListParagraph"/>
        <w:numPr>
          <w:ilvl w:val="0"/>
          <w:numId w:val="2"/>
        </w:numPr>
        <w:spacing w:after="60"/>
      </w:pPr>
      <w:r>
        <w:t xml:space="preserve">The test set is used </w:t>
      </w:r>
      <w:r>
        <w:rPr>
          <w:b/>
          <w:bCs/>
        </w:rPr>
        <w:t xml:space="preserve">once</w:t>
      </w:r>
      <w:r>
        <w:t xml:space="preserve">, at the end of Milestone 2.</w:t>
      </w:r>
    </w:p>
    <w:p>
      <w:pPr>
        <w:pStyle w:val="ListParagraph"/>
        <w:numPr>
          <w:ilvl w:val="0"/>
          <w:numId w:val="2"/>
        </w:numPr>
        <w:spacing w:after="60"/>
      </w:pPr>
      <w:r>
        <w:t xml:space="preserve">Cross-validation runs on the 80% development set; the test set stays sealed.</w:t>
      </w:r>
    </w:p>
    <w:p>
      <w:pPr>
        <w:pStyle w:val="ListParagraph"/>
        <w:numPr>
          <w:ilvl w:val="0"/>
          <w:numId w:val="2"/>
        </w:numPr>
        <w:spacing w:after="60"/>
      </w:pPr>
      <w:r>
        <w:rPr>
          <w:b/>
          <w:bCs/>
        </w:rPr>
        <w:t xml:space="preserve">Temporal check:</w:t>
      </w:r>
      <w:r>
        <w:t xml:space="preserve"> train on early applicants, test on later ones.</w:t>
      </w:r>
    </w:p>
    <w:p>
      <w:pPr>
        <w:pStyle w:val="ListParagraph"/>
        <w:numPr>
          <w:ilvl w:val="0"/>
          <w:numId w:val="2"/>
        </w:numPr>
        <w:spacing w:after="60"/>
      </w:pPr>
      <w:r>
        <w:t xml:space="preserve">Applications from the same household can't be linked; noted as a limitation.</w:t>
      </w:r>
    </w:p>
    <w:p>
      <w:pPr>
        <w:pStyle w:val="Heading1"/>
      </w:pPr>
      <w:r>
        <w:t xml:space="preserve">5. Modeling Approach</w:t>
      </w:r>
    </w:p>
    <w:p>
      <w:pPr>
        <w:keepNext/>
        <w:spacing w:after="160"/>
      </w:pPr>
      <w:r>
        <w:rPr>
          <w:b/>
          <w:bCs/>
          <w:color w:val="FFFFFF"/>
          <w:sz w:val="17"/>
          <w:szCs w:val="17"/>
          <w:shd w:fill="1D4ED8" w:color="auto" w:val="clear"/>
        </w:rPr>
        <w:t xml:space="preserve"> DANNY </w:t>
      </w:r>
      <w:r>
        <w:rPr>
          <w:color w:val="6B7280"/>
          <w:sz w:val="18"/>
          <w:szCs w:val="18"/>
        </w:rPr>
        <w:t xml:space="preserve">   2–3 pages</w:t>
      </w:r>
    </w:p>
    <w:p>
      <w:pPr>
        <w:keepNext/>
        <w:pBdr>
          <w:left w:val="single" w:color="F59E0B" w:sz="18" w:space="8"/>
        </w:pBdr>
        <w:shd w:fill="FFF7E6" w:color="auto" w:val="clear"/>
        <w:spacing w:after="180" w:before="60"/>
        <w:ind w:left="160" w:right="160"/>
      </w:pPr>
      <w:r>
        <w:rPr>
          <w:b/>
          <w:bCs/>
          <w:color w:val="B45309"/>
        </w:rPr>
        <w:t xml:space="preserve">OWNER NOTE  </w:t>
      </w:r>
      <w:r>
        <w:t xml:space="preserve">Justify each model by a property of our data from §3 (skew, interactions, rule-like signals), not by reputation.</w:t>
      </w:r>
    </w:p>
    <w:p>
      <w:pPr>
        <w:pStyle w:val="Heading2"/>
      </w:pPr>
      <w:r>
        <w:t xml:space="preserve">5.1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MODEL</w:t>
            </w:r>
          </w:p>
        </w:tc>
        <w:tc>
          <w:tcPr>
            <w:tcW w:type="dxa" w:w="63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WHY IT FITS THIS DATA</w:t>
            </w:r>
          </w:p>
        </w:tc>
      </w:tr>
      <w:tr>
        <w:tc>
          <w:tcPr>
            <w:tcW w:type="dxa" w:w="3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Logistic regression</w:t>
            </w:r>
          </w:p>
        </w:tc>
        <w:tc>
          <w:tcPr>
            <w:tcW w:type="dxa" w:w="63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Simple, interpretable; the baseline to beat</w:t>
            </w:r>
          </w:p>
        </w:tc>
      </w:tr>
      <w:tr>
        <w:tc>
          <w:tcPr>
            <w:tcW w:type="dxa" w:w="3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Decision tree</w:t>
            </w:r>
          </w:p>
        </w:tc>
        <w:tc>
          <w:tcPr>
            <w:tcW w:type="dxa" w:w="63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Readable rules, and FEMA's process is rule-like</w:t>
            </w:r>
          </w:p>
        </w:tc>
      </w:tr>
      <w:tr>
        <w:tc>
          <w:tcPr>
            <w:tcW w:type="dxa" w:w="3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Random forest</w:t>
            </w:r>
          </w:p>
        </w:tc>
        <w:tc>
          <w:tcPr>
            <w:tcW w:type="dxa" w:w="63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Handles skew, mixed types, outliers; bagging cuts variance</w:t>
            </w:r>
          </w:p>
        </w:tc>
      </w:tr>
      <w:tr>
        <w:tc>
          <w:tcPr>
            <w:tcW w:type="dxa" w:w="3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Gradient boosting</w:t>
            </w:r>
          </w:p>
        </w:tc>
        <w:tc>
          <w:tcPr>
            <w:tcW w:type="dxa" w:w="63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Best preliminary results; captures the interactions from §3.7</w:t>
            </w:r>
          </w:p>
        </w:tc>
      </w:tr>
      <w:tr>
        <w:tc>
          <w:tcPr>
            <w:tcW w:type="dxa" w:w="30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[TEAM: k-NN? neural net?]</w:t>
            </w:r>
          </w:p>
        </w:tc>
        <w:tc>
          <w:tcPr>
            <w:tcW w:type="dxa" w:w="63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Add or cut based on what the course covers</w:t>
            </w:r>
          </w:p>
        </w:tc>
      </w:tr>
    </w:tbl>
    <w:p>
      <w:pPr>
        <w:spacing w:after="80"/>
      </w:pPr>
    </w:p>
    <w:p>
      <w:pPr>
        <w:spacing w:after="80"/>
      </w:pPr>
      <w:r>
        <w:rPr>
          <w:b/>
          <w:bCs/>
        </w:rPr>
        <w:t xml:space="preserve">Preliminary baselines</w:t>
      </w:r>
      <w:r>
        <w:t xml:space="preserve"> (untuned, validation split, </w:t>
      </w:r>
      <w:r>
        <w:rPr>
          <w:rFonts w:ascii="Consolas" w:cs="Consolas" w:eastAsia="Consolas" w:hAnsi="Consolas"/>
          <w:color w:val="374151"/>
          <w:sz w:val="19"/>
          <w:szCs w:val="19"/>
        </w:rPr>
        <w:t xml:space="preserve">src/models/baseline.py</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1400"/>
        <w:gridCol w:w="1500"/>
        <w:gridCol w:w="1500"/>
      </w:tblGrid>
      <w:tr>
        <w:trPr>
          <w:tblHeader/>
        </w:trPr>
        <w:tc>
          <w:tcPr>
            <w:tcW w:type="dxa" w:w="22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FEATURES</w:t>
            </w:r>
          </w:p>
        </w:tc>
        <w:tc>
          <w:tcPr>
            <w:tcW w:type="dxa" w:w="27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MODEL</w:t>
            </w:r>
          </w:p>
        </w:tc>
        <w:tc>
          <w:tcPr>
            <w:tcW w:type="dxa" w:w="14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ROC-AUC</w:t>
            </w:r>
          </w:p>
        </w:tc>
        <w:tc>
          <w:tcPr>
            <w:tcW w:type="dxa" w:w="15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ACCURACY</w:t>
            </w:r>
          </w:p>
        </w:tc>
        <w:tc>
          <w:tcPr>
            <w:tcW w:type="dxa" w:w="15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F1</w:t>
            </w:r>
          </w:p>
        </w:tc>
      </w:tr>
      <w:tr>
        <w:tc>
          <w:tcPr>
            <w:tcW w:type="dxa" w:w="2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Tier 1 (26)</w:t>
            </w:r>
          </w:p>
        </w:tc>
        <w:tc>
          <w:tcPr>
            <w:tcW w:type="dxa" w:w="2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Gradient boosting</w:t>
            </w:r>
          </w:p>
        </w:tc>
        <w:tc>
          <w:tcPr>
            <w:tcW w:type="dxa" w:w="14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0.900</w:t>
            </w:r>
          </w:p>
        </w:tc>
        <w:tc>
          <w:tcPr>
            <w:tcW w:type="dxa" w:w="15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0.824</w:t>
            </w:r>
          </w:p>
        </w:tc>
        <w:tc>
          <w:tcPr>
            <w:tcW w:type="dxa" w:w="15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0.837</w:t>
            </w:r>
          </w:p>
        </w:tc>
      </w:tr>
      <w:tr>
        <w:tc>
          <w:tcPr>
            <w:tcW w:type="dxa" w:w="2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Tier 1</w:t>
            </w:r>
          </w:p>
        </w:tc>
        <w:tc>
          <w:tcPr>
            <w:tcW w:type="dxa" w:w="2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Logistic regression</w:t>
            </w:r>
          </w:p>
        </w:tc>
        <w:tc>
          <w:tcPr>
            <w:tcW w:type="dxa" w:w="14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0.843</w:t>
            </w:r>
          </w:p>
        </w:tc>
        <w:tc>
          <w:tcPr>
            <w:tcW w:type="dxa" w:w="15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0.764</w:t>
            </w:r>
          </w:p>
        </w:tc>
        <w:tc>
          <w:tcPr>
            <w:tcW w:type="dxa" w:w="15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0.771</w:t>
            </w:r>
          </w:p>
        </w:tc>
      </w:tr>
      <w:tr>
        <w:tc>
          <w:tcPr>
            <w:tcW w:type="dxa" w:w="2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Tier 1 + 2 (40)</w:t>
            </w:r>
          </w:p>
        </w:tc>
        <w:tc>
          <w:tcPr>
            <w:tcW w:type="dxa" w:w="2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Gradient boosting</w:t>
            </w:r>
          </w:p>
        </w:tc>
        <w:tc>
          <w:tcPr>
            <w:tcW w:type="dxa" w:w="14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0.938</w:t>
            </w:r>
          </w:p>
        </w:tc>
        <w:tc>
          <w:tcPr>
            <w:tcW w:type="dxa" w:w="15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0.870</w:t>
            </w:r>
          </w:p>
        </w:tc>
        <w:tc>
          <w:tcPr>
            <w:tcW w:type="dxa" w:w="15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0.882</w:t>
            </w:r>
          </w:p>
        </w:tc>
      </w:tr>
      <w:tr>
        <w:tc>
          <w:tcPr>
            <w:tcW w:type="dxa" w:w="2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Tier 1 + 2</w:t>
            </w:r>
          </w:p>
        </w:tc>
        <w:tc>
          <w:tcPr>
            <w:tcW w:type="dxa" w:w="2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Logistic regression</w:t>
            </w:r>
          </w:p>
        </w:tc>
        <w:tc>
          <w:tcPr>
            <w:tcW w:type="dxa" w:w="14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0.898</w:t>
            </w:r>
          </w:p>
        </w:tc>
        <w:tc>
          <w:tcPr>
            <w:tcW w:type="dxa" w:w="15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0.818</w:t>
            </w:r>
          </w:p>
        </w:tc>
        <w:tc>
          <w:tcPr>
            <w:tcW w:type="dxa" w:w="15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0.825</w:t>
            </w:r>
          </w:p>
        </w:tc>
      </w:tr>
      <w:tr>
        <w:tc>
          <w:tcPr>
            <w:tcW w:type="dxa" w:w="2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any</w:t>
            </w:r>
          </w:p>
        </w:tc>
        <w:tc>
          <w:tcPr>
            <w:tcW w:type="dxa" w:w="2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Majority class</w:t>
            </w:r>
          </w:p>
        </w:tc>
        <w:tc>
          <w:tcPr>
            <w:tcW w:type="dxa" w:w="14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0.500</w:t>
            </w:r>
          </w:p>
        </w:tc>
        <w:tc>
          <w:tcPr>
            <w:tcW w:type="dxa" w:w="15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0.507</w:t>
            </w:r>
          </w:p>
        </w:tc>
        <w:tc>
          <w:tcPr>
            <w:tcW w:type="dxa" w:w="15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0.000</w:t>
            </w:r>
          </w:p>
        </w:tc>
      </w:tr>
    </w:tbl>
    <w:p>
      <w:pPr>
        <w:spacing w:after="80"/>
      </w:pPr>
    </w:p>
    <w:p>
      <w:pPr>
        <w:pStyle w:val="Heading2"/>
      </w:pPr>
      <w:r>
        <w:t xml:space="preserve">5.2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METRIC</w:t>
            </w:r>
          </w:p>
        </w:tc>
        <w:tc>
          <w:tcPr>
            <w:tcW w:type="dxa" w:w="65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WHY</w:t>
            </w:r>
          </w:p>
        </w:tc>
      </w:tr>
      <w:tr>
        <w:tc>
          <w:tcPr>
            <w:tcW w:type="dxa" w:w="28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b/>
                <w:bCs/>
                <w:sz w:val="19"/>
                <w:szCs w:val="19"/>
              </w:rPr>
              <w:t xml:space="preserve">ROC-AUC</w:t>
            </w:r>
            <w:r>
              <w:rPr>
                <w:sz w:val="19"/>
                <w:szCs w:val="19"/>
              </w:rPr>
              <w:t xml:space="preserve"> (primary)</w:t>
            </w:r>
          </w:p>
        </w:tc>
        <w:tc>
          <w:tcPr>
            <w:tcW w:type="dxa" w:w="65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Ranking quality regardless of threshold; fine with balanced classes</w:t>
            </w:r>
          </w:p>
        </w:tc>
      </w:tr>
      <w:tr>
        <w:tc>
          <w:tcPr>
            <w:tcW w:type="dxa" w:w="28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Precision, recall, F1</w:t>
            </w:r>
          </w:p>
        </w:tc>
        <w:tc>
          <w:tcPr>
            <w:tcW w:type="dxa" w:w="65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False "ineligible" and false "eligible" cost different things; we pick the threshold explicitly</w:t>
            </w:r>
          </w:p>
        </w:tc>
      </w:tr>
      <w:tr>
        <w:tc>
          <w:tcPr>
            <w:tcW w:type="dxa" w:w="28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Accuracy</w:t>
            </w:r>
          </w:p>
        </w:tc>
        <w:tc>
          <w:tcPr>
            <w:tcW w:type="dxa" w:w="65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Fair here because classes are balanced</w:t>
            </w:r>
          </w:p>
        </w:tc>
      </w:tr>
      <w:tr>
        <w:tc>
          <w:tcPr>
            <w:tcW w:type="dxa" w:w="28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Confusion matrix</w:t>
            </w:r>
          </w:p>
        </w:tc>
        <w:tc>
          <w:tcPr>
            <w:tcW w:type="dxa" w:w="65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Shows where the errors fall</w:t>
            </w:r>
          </w:p>
        </w:tc>
      </w:tr>
      <w:tr>
        <w:tc>
          <w:tcPr>
            <w:tcW w:type="dxa" w:w="28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Group error rates</w:t>
            </w:r>
          </w:p>
        </w:tc>
        <w:tc>
          <w:tcPr>
            <w:tcW w:type="dxa" w:w="65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Fairness audit (target in §2.2)</w:t>
            </w:r>
          </w:p>
        </w:tc>
      </w:tr>
    </w:tbl>
    <w:p>
      <w:pPr>
        <w:spacing w:after="80"/>
      </w:pPr>
    </w:p>
    <w:p>
      <w:pPr>
        <w:pStyle w:val="Heading2"/>
      </w:pPr>
      <w:r>
        <w:t xml:space="preserve">5.3 Cross-validation and tuning</w:t>
      </w:r>
    </w:p>
    <w:p>
      <w:pPr>
        <w:spacing w:after="120"/>
      </w:pPr>
      <w:r>
        <w:t xml:space="preserve">5-fold stratified CV on the development set, with randomized hyperparameter search inside the folds. Every model uses the same folds. The test set is used once, for the final score.</w:t>
      </w:r>
    </w:p>
    <w:p>
      <w:pPr>
        <w:pStyle w:val="Heading2"/>
      </w:pPr>
      <w:r>
        <w:t xml:space="preserve">5.4 Challenges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CHALLENGE</w:t>
            </w:r>
          </w:p>
        </w:tc>
        <w:tc>
          <w:tcPr>
            <w:tcW w:type="dxa" w:w="61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MITIGATION</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Hidden leakage as scores rise</w:t>
            </w:r>
          </w:p>
        </w:tc>
        <w:tc>
          <w:tcPr>
            <w:tcW w:type="dxa" w:w="6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Roles file as single source of truth; rerun the drop-a-group ablation for every final feature set (it caught </w:t>
            </w:r>
            <w:r>
              <w:rPr>
                <w:rFonts w:ascii="Consolas" w:cs="Consolas" w:eastAsia="Consolas" w:hAnsi="Consolas"/>
                <w:color w:val="374151"/>
                <w:sz w:val="19"/>
                <w:szCs w:val="19"/>
              </w:rPr>
              <w:t xml:space="preserve">currentLocation</w:t>
            </w:r>
            <w:r>
              <w:rPr>
                <w:sz w:val="19"/>
                <w:szCs w:val="19"/>
              </w:rPr>
              <w:t xml:space="preserve">)</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High-cardinality geography</w:t>
            </w:r>
          </w:p>
        </w:tc>
        <w:tc>
          <w:tcPr>
            <w:tcW w:type="dxa" w:w="6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Frequency / target encoding fit inside folds; compare with and without</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Skewed, mostly-zero damage</w:t>
            </w:r>
          </w:p>
        </w:tc>
        <w:tc>
          <w:tcPr>
            <w:tcW w:type="dxa" w:w="6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Log transform + flags; prefer trees</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Model just relearns FEMA rules</w:t>
            </w:r>
          </w:p>
        </w:tc>
        <w:tc>
          <w:tcPr>
            <w:tcW w:type="dxa" w:w="6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Say so; treat model–outcome disagreements as the interesting cases</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Fairness</w:t>
            </w:r>
          </w:p>
        </w:tc>
        <w:tc>
          <w:tcPr>
            <w:tcW w:type="dxa" w:w="6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Report group error rates; investigate gaps &gt; 5 pts</w:t>
            </w:r>
          </w:p>
        </w:tc>
      </w:tr>
      <w:tr>
        <w:tc>
          <w:tcPr>
            <w:tcW w:type="dxa" w:w="32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One storm only</w:t>
            </w:r>
          </w:p>
        </w:tc>
        <w:tc>
          <w:tcPr>
            <w:tcW w:type="dxa" w:w="61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State scope; run the temporal check</w:t>
            </w:r>
          </w:p>
        </w:tc>
      </w:tr>
    </w:tbl>
    <w:p>
      <w:pPr>
        <w:spacing w:after="80"/>
      </w:pPr>
    </w:p>
    <w:p>
      <w:pPr>
        <w:pStyle w:val="Heading1"/>
      </w:pPr>
      <w:r>
        <w:t xml:space="preserve">6. Project Timeline</w:t>
      </w:r>
    </w:p>
    <w:p>
      <w:pPr>
        <w:keepNext/>
        <w:spacing w:after="160"/>
      </w:pPr>
      <w:r>
        <w:rPr>
          <w:b/>
          <w:bCs/>
          <w:color w:val="FFFFFF"/>
          <w:sz w:val="17"/>
          <w:szCs w:val="17"/>
          <w:shd w:fill="1D4ED8" w:color="auto" w:val="clear"/>
        </w:rPr>
        <w:t xml:space="preserve"> TOGETHER </w:t>
      </w:r>
      <w:r>
        <w:rPr>
          <w:color w:val="6B7280"/>
          <w:sz w:val="18"/>
          <w:szCs w:val="18"/>
        </w:rPr>
        <w:t xml:space="preserve">   1 page  ·  Tuesday call</w:t>
      </w:r>
    </w:p>
    <w:p>
      <w:pPr>
        <w:keepNext/>
        <w:pBdr>
          <w:left w:val="single" w:color="F59E0B" w:sz="18" w:space="8"/>
        </w:pBdr>
        <w:shd w:fill="FFF7E6" w:color="auto" w:val="clear"/>
        <w:spacing w:after="180" w:before="60"/>
        <w:ind w:left="160" w:right="160"/>
      </w:pPr>
      <w:r>
        <w:rPr>
          <w:b/>
          <w:bCs/>
          <w:color w:val="B45309"/>
        </w:rPr>
        <w:t xml:space="preserve">OWNER NOTE  </w:t>
      </w:r>
      <w:r>
        <w:t xml:space="preserve">Fill the [TEAM] owners on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rPr>
          <w:tblHeader/>
        </w:trPr>
        <w:tc>
          <w:tcPr>
            <w:tcW w:type="dxa" w:w="18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DATES</w:t>
            </w:r>
          </w:p>
        </w:tc>
        <w:tc>
          <w:tcPr>
            <w:tcW w:type="dxa" w:w="59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WORK</w:t>
            </w:r>
          </w:p>
        </w:tc>
        <w:tc>
          <w:tcPr>
            <w:tcW w:type="dxa" w:w="16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OWNER</w:t>
            </w:r>
          </w:p>
        </w:tc>
      </w:tr>
      <w:tr>
        <w:tc>
          <w:tcPr>
            <w:tcW w:type="dxa" w:w="18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Sep 22–25</w:t>
            </w:r>
          </w:p>
        </w:tc>
        <w:tc>
          <w:tcPr>
            <w:tcW w:type="dxa" w:w="5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Agree on target, success criteria and roles; everyone re-runs the EDA notebook</w:t>
            </w:r>
          </w:p>
        </w:tc>
        <w:tc>
          <w:tcPr>
            <w:tcW w:type="dxa" w:w="1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All</w:t>
            </w:r>
          </w:p>
        </w:tc>
      </w:tr>
      <w:tr>
        <w:tc>
          <w:tcPr>
            <w:tcW w:type="dxa" w:w="18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Sep 26–29</w:t>
            </w:r>
          </w:p>
        </w:tc>
        <w:tc>
          <w:tcPr>
            <w:tcW w:type="dxa" w:w="5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Write, proofread, export PDF, assemble zip</w:t>
            </w:r>
          </w:p>
        </w:tc>
        <w:tc>
          <w:tcPr>
            <w:tcW w:type="dxa" w:w="1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All</w:t>
            </w:r>
          </w:p>
        </w:tc>
      </w:tr>
      <w:tr>
        <w:tc>
          <w:tcPr>
            <w:tcW w:type="dxa" w:w="1800"/>
            <w:tcBorders>
              <w:top w:val="none" w:color="FFFFFF" w:sz="0"/>
              <w:left w:val="none" w:color="FFFFFF" w:sz="0"/>
              <w:bottom w:val="single" w:color="E5E7EB" w:sz="4"/>
              <w:right w:val="none" w:color="FFFFFF" w:sz="0"/>
            </w:tcBorders>
            <w:shd w:fill="EEF2FF" w:color="auto" w:val="clear"/>
            <w:tcMar>
              <w:top w:type="dxa" w:w="50"/>
              <w:left w:type="dxa" w:w="110"/>
              <w:bottom w:type="dxa" w:w="50"/>
              <w:right w:type="dxa" w:w="110"/>
            </w:tcMar>
          </w:tcPr>
          <w:p>
            <w:pPr>
              <w:keepNext/>
              <w:keepLines/>
            </w:pPr>
            <w:r>
              <w:rPr>
                <w:b/>
                <w:bCs/>
                <w:sz w:val="19"/>
                <w:szCs w:val="19"/>
              </w:rPr>
              <w:t xml:space="preserve">Sep 30</w:t>
            </w:r>
          </w:p>
        </w:tc>
        <w:tc>
          <w:tcPr>
            <w:tcW w:type="dxa" w:w="5960"/>
            <w:tcBorders>
              <w:top w:val="none" w:color="FFFFFF" w:sz="0"/>
              <w:left w:val="none" w:color="FFFFFF" w:sz="0"/>
              <w:bottom w:val="single" w:color="E5E7EB" w:sz="4"/>
              <w:right w:val="none" w:color="FFFFFF" w:sz="0"/>
            </w:tcBorders>
            <w:shd w:fill="EEF2FF" w:color="auto" w:val="clear"/>
            <w:tcMar>
              <w:top w:type="dxa" w:w="50"/>
              <w:left w:type="dxa" w:w="110"/>
              <w:bottom w:type="dxa" w:w="50"/>
              <w:right w:type="dxa" w:w="110"/>
            </w:tcMar>
          </w:tcPr>
          <w:p>
            <w:pPr>
              <w:keepNext/>
              <w:keepLines/>
            </w:pPr>
            <w:r>
              <w:rPr>
                <w:b/>
                <w:bCs/>
                <w:sz w:val="19"/>
                <w:szCs w:val="19"/>
              </w:rPr>
              <w:t xml:space="preserve">Milestone 1 due</w:t>
            </w:r>
          </w:p>
        </w:tc>
        <w:tc>
          <w:tcPr>
            <w:tcW w:type="dxa" w:w="1600"/>
            <w:tcBorders>
              <w:top w:val="none" w:color="FFFFFF" w:sz="0"/>
              <w:left w:val="none" w:color="FFFFFF" w:sz="0"/>
              <w:bottom w:val="single" w:color="E5E7EB" w:sz="4"/>
              <w:right w:val="none" w:color="FFFFFF" w:sz="0"/>
            </w:tcBorders>
            <w:shd w:fill="EEF2FF" w:color="auto" w:val="clear"/>
            <w:tcMar>
              <w:top w:type="dxa" w:w="50"/>
              <w:left w:type="dxa" w:w="110"/>
              <w:bottom w:type="dxa" w:w="50"/>
              <w:right w:type="dxa" w:w="110"/>
            </w:tcMar>
          </w:tcPr>
          <w:p>
            <w:pPr>
              <w:keepNext/>
              <w:keepLines/>
            </w:pPr>
            <w:r>
              <w:rPr>
                <w:sz w:val="19"/>
                <w:szCs w:val="19"/>
              </w:rPr>
              <w:t xml:space="preserve">All</w:t>
            </w:r>
          </w:p>
        </w:tc>
      </w:tr>
      <w:tr>
        <w:tc>
          <w:tcPr>
            <w:tcW w:type="dxa" w:w="18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Oct 1–14</w:t>
            </w:r>
          </w:p>
        </w:tc>
        <w:tc>
          <w:tcPr>
            <w:tcW w:type="dxa" w:w="5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Finish the preprocessing pipeline and notebook</w:t>
            </w:r>
          </w:p>
        </w:tc>
        <w:tc>
          <w:tcPr>
            <w:tcW w:type="dxa" w:w="1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[TEAM]</w:t>
            </w:r>
          </w:p>
        </w:tc>
      </w:tr>
      <w:tr>
        <w:tc>
          <w:tcPr>
            <w:tcW w:type="dxa" w:w="18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Oct 15–31</w:t>
            </w:r>
          </w:p>
        </w:tc>
        <w:tc>
          <w:tcPr>
            <w:tcW w:type="dxa" w:w="5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Train all models, cross-validate, tune</w:t>
            </w:r>
          </w:p>
        </w:tc>
        <w:tc>
          <w:tcPr>
            <w:tcW w:type="dxa" w:w="1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[TEAM]</w:t>
            </w:r>
          </w:p>
        </w:tc>
      </w:tr>
      <w:tr>
        <w:tc>
          <w:tcPr>
            <w:tcW w:type="dxa" w:w="18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Nov 1–10</w:t>
            </w:r>
          </w:p>
        </w:tc>
        <w:tc>
          <w:tcPr>
            <w:tcW w:type="dxa" w:w="5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Evaluation: comparison, feature importance, leakage ablations, fairness audit</w:t>
            </w:r>
          </w:p>
        </w:tc>
        <w:tc>
          <w:tcPr>
            <w:tcW w:type="dxa" w:w="1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[TEAM]</w:t>
            </w:r>
          </w:p>
        </w:tc>
      </w:tr>
      <w:tr>
        <w:tc>
          <w:tcPr>
            <w:tcW w:type="dxa" w:w="18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Nov 11–18</w:t>
            </w:r>
          </w:p>
        </w:tc>
        <w:tc>
          <w:tcPr>
            <w:tcW w:type="dxa" w:w="5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Final report, presentation, rehearsal</w:t>
            </w:r>
          </w:p>
        </w:tc>
        <w:tc>
          <w:tcPr>
            <w:tcW w:type="dxa" w:w="1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All</w:t>
            </w:r>
          </w:p>
        </w:tc>
      </w:tr>
      <w:tr>
        <w:tc>
          <w:tcPr>
            <w:tcW w:type="dxa" w:w="18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Nov 19</w:t>
            </w:r>
          </w:p>
        </w:tc>
        <w:tc>
          <w:tcPr>
            <w:tcW w:type="dxa" w:w="5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Freeze: code runs top to bottom, PDF exported</w:t>
            </w:r>
          </w:p>
        </w:tc>
        <w:tc>
          <w:tcPr>
            <w:tcW w:type="dxa" w:w="1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All</w:t>
            </w:r>
          </w:p>
        </w:tc>
      </w:tr>
      <w:tr>
        <w:tc>
          <w:tcPr>
            <w:tcW w:type="dxa" w:w="1800"/>
            <w:tcBorders>
              <w:top w:val="none" w:color="FFFFFF" w:sz="0"/>
              <w:left w:val="none" w:color="FFFFFF" w:sz="0"/>
              <w:bottom w:val="single" w:color="E5E7EB" w:sz="4"/>
              <w:right w:val="none" w:color="FFFFFF" w:sz="0"/>
            </w:tcBorders>
            <w:shd w:fill="EEF2FF" w:color="auto" w:val="clear"/>
            <w:tcMar>
              <w:top w:type="dxa" w:w="50"/>
              <w:left w:type="dxa" w:w="110"/>
              <w:bottom w:type="dxa" w:w="50"/>
              <w:right w:type="dxa" w:w="110"/>
            </w:tcMar>
          </w:tcPr>
          <w:p>
            <w:pPr>
              <w:keepNext/>
              <w:keepLines/>
            </w:pPr>
            <w:r>
              <w:rPr>
                <w:b/>
                <w:bCs/>
                <w:sz w:val="19"/>
                <w:szCs w:val="19"/>
              </w:rPr>
              <w:t xml:space="preserve">Nov 21</w:t>
            </w:r>
          </w:p>
        </w:tc>
        <w:tc>
          <w:tcPr>
            <w:tcW w:type="dxa" w:w="5960"/>
            <w:tcBorders>
              <w:top w:val="none" w:color="FFFFFF" w:sz="0"/>
              <w:left w:val="none" w:color="FFFFFF" w:sz="0"/>
              <w:bottom w:val="single" w:color="E5E7EB" w:sz="4"/>
              <w:right w:val="none" w:color="FFFFFF" w:sz="0"/>
            </w:tcBorders>
            <w:shd w:fill="EEF2FF" w:color="auto" w:val="clear"/>
            <w:tcMar>
              <w:top w:type="dxa" w:w="50"/>
              <w:left w:type="dxa" w:w="110"/>
              <w:bottom w:type="dxa" w:w="50"/>
              <w:right w:type="dxa" w:w="110"/>
            </w:tcMar>
          </w:tcPr>
          <w:p>
            <w:pPr>
              <w:keepNext/>
              <w:keepLines/>
            </w:pPr>
            <w:r>
              <w:rPr>
                <w:b/>
                <w:bCs/>
                <w:sz w:val="19"/>
                <w:szCs w:val="19"/>
              </w:rPr>
              <w:t xml:space="preserve">Milestone 2 due</w:t>
            </w:r>
          </w:p>
        </w:tc>
        <w:tc>
          <w:tcPr>
            <w:tcW w:type="dxa" w:w="1600"/>
            <w:tcBorders>
              <w:top w:val="none" w:color="FFFFFF" w:sz="0"/>
              <w:left w:val="none" w:color="FFFFFF" w:sz="0"/>
              <w:bottom w:val="single" w:color="E5E7EB" w:sz="4"/>
              <w:right w:val="none" w:color="FFFFFF" w:sz="0"/>
            </w:tcBorders>
            <w:shd w:fill="EEF2FF" w:color="auto" w:val="clear"/>
            <w:tcMar>
              <w:top w:type="dxa" w:w="50"/>
              <w:left w:type="dxa" w:w="110"/>
              <w:bottom w:type="dxa" w:w="50"/>
              <w:right w:type="dxa" w:w="110"/>
            </w:tcMar>
          </w:tcPr>
          <w:p>
            <w:pPr>
              <w:keepNext/>
              <w:keepLines/>
            </w:pPr>
            <w:r>
              <w:rPr>
                <w:sz w:val="19"/>
                <w:szCs w:val="19"/>
              </w:rPr>
              <w:t xml:space="preserve">All</w:t>
            </w:r>
          </w:p>
        </w:tc>
      </w:tr>
      <w:tr>
        <w:tc>
          <w:tcPr>
            <w:tcW w:type="dxa" w:w="18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Nov 23 / Dec 2</w:t>
            </w:r>
          </w:p>
        </w:tc>
        <w:tc>
          <w:tcPr>
            <w:tcW w:type="dxa" w:w="59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Presentation (15 min + Q&amp;A)</w:t>
            </w:r>
          </w:p>
        </w:tc>
        <w:tc>
          <w:tcPr>
            <w:tcW w:type="dxa" w:w="1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All</w:t>
            </w:r>
          </w:p>
        </w:tc>
      </w:tr>
    </w:tbl>
    <w:p>
      <w:pPr>
        <w:spacing w:after="80"/>
      </w:pPr>
    </w:p>
    <w:p>
      <w:pPr>
        <w:spacing w:after="120"/>
      </w:pPr>
      <w:r>
        <w:rPr>
          <w:b/>
          <w:bCs/>
        </w:rPr>
        <w:t xml:space="preserve">Roles.</w:t>
      </w:r>
      <w:r>
        <w:t xml:space="preserve"> [TEAM: name] data and EDA  ·  [TEAM: name] modeling  ·  [TEAM: name] evaluation and report. Everyone contributes to every phase.</w:t>
      </w:r>
    </w:p>
    <w:p>
      <w:pPr>
        <w:pStyle w:val="Heading2"/>
      </w:pPr>
      <w:r>
        <w:t xml:space="preserve">Risks and contingencies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RISK</w:t>
            </w:r>
          </w:p>
        </w:tc>
        <w:tc>
          <w:tcPr>
            <w:tcW w:type="dxa" w:w="5760"/>
            <w:tcBorders>
              <w:top w:val="none" w:color="FFFFFF" w:sz="0"/>
              <w:left w:val="none" w:color="FFFFFF" w:sz="0"/>
              <w:bottom w:val="single" w:color="E5E7EB" w:sz="4"/>
              <w:right w:val="none" w:color="FFFFFF" w:sz="0"/>
            </w:tcBorders>
            <w:shd w:fill="F3F4F6" w:color="auto" w:val="clear"/>
            <w:tcMar>
              <w:top w:type="dxa" w:w="50"/>
              <w:left w:type="dxa" w:w="110"/>
              <w:bottom w:type="dxa" w:w="50"/>
              <w:right w:type="dxa" w:w="110"/>
            </w:tcMar>
          </w:tcPr>
          <w:p>
            <w:pPr>
              <w:keepNext/>
              <w:keepLines/>
            </w:pPr>
            <w:r>
              <w:rPr>
                <w:b/>
                <w:bCs/>
                <w:color w:val="6B7280"/>
                <w:sz w:val="18"/>
                <w:szCs w:val="18"/>
              </w:rPr>
              <w:t xml:space="preserve">CONTINGENCY</w:t>
            </w:r>
          </w:p>
        </w:tc>
      </w:tr>
      <w:tr>
        <w:tc>
          <w:tcPr>
            <w:tcW w:type="dxa" w:w="3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A teammate is unavailable</w:t>
            </w:r>
          </w:p>
        </w:tc>
        <w:tc>
          <w:tcPr>
            <w:tcW w:type="dxa" w:w="5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Everything is in Git with documented code; weekly check-ins</w:t>
            </w:r>
          </w:p>
        </w:tc>
      </w:tr>
      <w:tr>
        <w:tc>
          <w:tcPr>
            <w:tcW w:type="dxa" w:w="3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Scores drop after removing leaky features</w:t>
            </w:r>
          </w:p>
        </w:tc>
        <w:tc>
          <w:tcPr>
            <w:tcW w:type="dxa" w:w="5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Report it; the leakage story is itself a finding</w:t>
            </w:r>
          </w:p>
        </w:tc>
      </w:tr>
      <w:tr>
        <w:tc>
          <w:tcPr>
            <w:tcW w:type="dxa" w:w="3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Notebook merge conflicts</w:t>
            </w:r>
          </w:p>
        </w:tc>
        <w:tc>
          <w:tcPr>
            <w:tcW w:type="dxa" w:w="5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keepLines/>
            </w:pPr>
            <w:r>
              <w:rPr>
                <w:sz w:val="19"/>
                <w:szCs w:val="19"/>
              </w:rPr>
              <w:t xml:space="preserve">One person per notebook; small commits; pull first</w:t>
            </w:r>
          </w:p>
        </w:tc>
      </w:tr>
      <w:tr>
        <w:tc>
          <w:tcPr>
            <w:tcW w:type="dxa" w:w="360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Running out of time</w:t>
            </w:r>
          </w:p>
        </w:tc>
        <w:tc>
          <w:tcPr>
            <w:tcW w:type="dxa" w:w="5760"/>
            <w:tcBorders>
              <w:top w:val="none" w:color="FFFFFF" w:sz="0"/>
              <w:left w:val="none" w:color="FFFFFF" w:sz="0"/>
              <w:bottom w:val="single" w:color="E5E7EB" w:sz="4"/>
              <w:right w:val="none" w:color="FFFFFF" w:sz="0"/>
            </w:tcBorders>
            <w:tcMar>
              <w:top w:type="dxa" w:w="50"/>
              <w:left w:type="dxa" w:w="110"/>
              <w:bottom w:type="dxa" w:w="50"/>
              <w:right w:type="dxa" w:w="110"/>
            </w:tcMar>
          </w:tcPr>
          <w:p>
            <w:pPr>
              <w:keepNext w:val="false"/>
              <w:keepLines/>
            </w:pPr>
            <w:r>
              <w:rPr>
                <w:sz w:val="19"/>
                <w:szCs w:val="19"/>
              </w:rPr>
              <w:t xml:space="preserve">Freeze the model set by Oct 31; cut optional models first</w:t>
            </w:r>
          </w:p>
        </w:tc>
      </w:tr>
    </w:tbl>
    <w:p>
      <w:pPr>
        <w:spacing w:after="80"/>
      </w:pPr>
    </w:p>
    <w:p>
      <w:pPr>
        <w:pStyle w:val="Heading1"/>
      </w:pPr>
      <w:r>
        <w:t xml:space="preserve">Appendices</w:t>
      </w:r>
    </w:p>
    <w:p>
      <w:pPr>
        <w:spacing w:after="120"/>
      </w:pPr>
      <w:r>
        <w:rPr>
          <w:i/>
          <w:iCs/>
          <w:color w:val="6B7280"/>
          <w:sz w:val="18"/>
          <w:szCs w:val="18"/>
        </w:rPr>
        <w:t xml:space="preserve">Not counted in the page limit.</w:t>
      </w:r>
    </w:p>
    <w:p>
      <w:pPr>
        <w:pStyle w:val="ListParagraph"/>
        <w:numPr>
          <w:ilvl w:val="0"/>
          <w:numId w:val="2"/>
        </w:numPr>
        <w:spacing w:after="60"/>
      </w:pPr>
      <w:r>
        <w:t xml:space="preserve">A. Data dictionary (</w:t>
      </w:r>
      <w:r>
        <w:rPr>
          <w:rFonts w:ascii="Consolas" w:cs="Consolas" w:eastAsia="Consolas" w:hAnsi="Consolas"/>
          <w:color w:val="374151"/>
          <w:sz w:val="19"/>
          <w:szCs w:val="19"/>
        </w:rPr>
        <w:t xml:space="preserve">docs/data_dictionary.md</w:t>
      </w:r>
      <w:r>
        <w:t xml:space="preserve">)</w:t>
      </w:r>
    </w:p>
    <w:p>
      <w:pPr>
        <w:pStyle w:val="ListParagraph"/>
        <w:numPr>
          <w:ilvl w:val="0"/>
          <w:numId w:val="2"/>
        </w:numPr>
        <w:spacing w:after="60"/>
      </w:pPr>
      <w:r>
        <w:t xml:space="preserve">B. EDA notebook export (</w:t>
      </w:r>
      <w:r>
        <w:rPr>
          <w:rFonts w:ascii="Consolas" w:cs="Consolas" w:eastAsia="Consolas" w:hAnsi="Consolas"/>
          <w:color w:val="374151"/>
          <w:sz w:val="19"/>
          <w:szCs w:val="19"/>
        </w:rPr>
        <w:t xml:space="preserve">reports/milestone_1/eda_notebook.html</w:t>
      </w:r>
      <w:r>
        <w:t xml:space="preserve">)</w:t>
      </w:r>
    </w:p>
    <w:p>
      <w:pPr>
        <w:pStyle w:val="ListParagraph"/>
        <w:numPr>
          <w:ilvl w:val="0"/>
          <w:numId w:val="2"/>
        </w:numPr>
        <w:spacing w:after="60"/>
      </w:pPr>
      <w:r>
        <w:t xml:space="preserve">C. AI usage log (</w:t>
      </w:r>
      <w:r>
        <w:rPr>
          <w:rFonts w:ascii="Consolas" w:cs="Consolas" w:eastAsia="Consolas" w:hAnsi="Consolas"/>
          <w:color w:val="374151"/>
          <w:sz w:val="19"/>
          <w:szCs w:val="19"/>
        </w:rPr>
        <w:t xml:space="preserve">docs/AI_USAGE.md</w:t>
      </w:r>
      <w:r>
        <w:t xml:space="preserve">)</w:t>
      </w:r>
    </w:p>
    <w:p>
      <w:pPr>
        <w:pStyle w:val="ListParagraph"/>
        <w:numPr>
          <w:ilvl w:val="0"/>
          <w:numId w:val="2"/>
        </w:numPr>
        <w:spacing w:after="60"/>
      </w:pPr>
      <w:r>
        <w:t xml:space="preserve">D. Additional figures (</w:t>
      </w:r>
      <w:r>
        <w:rPr>
          <w:rFonts w:ascii="Consolas" w:cs="Consolas" w:eastAsia="Consolas" w:hAnsi="Consolas"/>
          <w:color w:val="374151"/>
          <w:sz w:val="19"/>
          <w:szCs w:val="19"/>
        </w:rPr>
        <w:t xml:space="preserve">reports/figures/</w:t>
      </w:r>
      <w:r>
        <w:t xml:space="preserve">)</w:t>
      </w:r>
    </w:p>
    <w:p>
      <w:pPr>
        <w:pStyle w:val="Heading1"/>
      </w:pPr>
      <w:r>
        <w:t xml:space="preserve">References</w:t>
      </w:r>
    </w:p>
    <w:p>
      <w:pPr>
        <w:spacing w:after="120"/>
      </w:pPr>
      <w:r>
        <w:t xml:space="preserve">FEMA. </w:t>
      </w:r>
      <w:r>
        <w:rPr>
          <w:i/>
          <w:iCs/>
        </w:rPr>
        <w:t xml:space="preserve">OpenFEMA Dataset: Individuals and Households Program – Valid Registrations v2.</w:t>
      </w:r>
      <w:r>
        <w:t xml:space="preserve"> https://www.fema.gov/openfema-data-page/individuals-and-households-program-valid-registrations-v2</w:t>
      </w:r>
    </w:p>
    <w:p>
      <w:pPr>
        <w:pStyle w:val="Heading1"/>
      </w:pPr>
      <w:r>
        <w:t xml:space="preserve">AI-use disclosure</w:t>
      </w:r>
    </w:p>
    <w:p>
      <w:pPr>
        <w:spacing w:after="120"/>
      </w:pPr>
      <w:r>
        <w:t xml:space="preserve">Portions of the code, analysis and this draft were produced with Claude Code (Anthropic) and reviewed by the team. See </w:t>
      </w:r>
      <w:r>
        <w:rPr>
          <w:rFonts w:ascii="Consolas" w:cs="Consolas" w:eastAsia="Consolas" w:hAnsi="Consolas"/>
          <w:color w:val="374151"/>
          <w:sz w:val="19"/>
          <w:szCs w:val="19"/>
        </w:rPr>
        <w:t xml:space="preserve">docs/AI_USAGE.md</w:t>
      </w:r>
      <w:r>
        <w:t xml:space="preserve"> for the full log.</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7280"/>
        <w:sz w:val="16"/>
        <w:szCs w:val="16"/>
      </w:rPr>
      <w:t xml:space="preserve">FEMA Assistance Prediction  ·  Milestone 1</w:t>
    </w:r>
    <w:r>
      <w:rPr>
        <w:color w:val="6B7280"/>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1D4ED8"/>
      </w:rPr>
    </w:lvl>
  </w:abstractNum>
  <w:abstractNum w:abstractNumId="3" w15:restartNumberingAfterBreak="0">
    <w:multiLevelType w:val="hybridMultilevel"/>
    <w:lvl w:ilvl="0" w15:tentative="1">
      <w:start w:val="1"/>
      <w:numFmt w:val="decimal"/>
      <w:lvlText w:val="%1."/>
      <w:lvlJc w:val="left"/>
      <w:pPr>
        <w:ind w:left="360" w:hanging="300"/>
      </w:pPr>
      <w:rPr>
        <w:b/>
        <w:bCs/>
        <w:color w:val="1D4ED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400"/>
      <w:outlineLvl w:val="0"/>
    </w:pPr>
    <w:rPr>
      <w:rFonts w:ascii="Calibri" w:cs="Calibri" w:eastAsia="Calibri" w:hAnsi="Calibri"/>
      <w:b/>
      <w:bCs/>
      <w:color w:val="1F2933"/>
      <w:sz w:val="32"/>
      <w:szCs w:val="32"/>
    </w:rPr>
  </w:style>
  <w:style w:type="paragraph" w:styleId="Heading2">
    <w:name w:val="Heading 2"/>
    <w:basedOn w:val="Normal"/>
    <w:next w:val="Normal"/>
    <w:qFormat/>
    <w:pPr>
      <w:keepNext/>
      <w:spacing w:after="80" w:before="220"/>
      <w:outlineLvl w:val="1"/>
    </w:pPr>
    <w:rPr>
      <w:rFonts w:ascii="Calibri" w:cs="Calibri" w:eastAsia="Calibri" w:hAnsi="Calibri"/>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fc8bfe7fe370a6abad99f2f29077aabf45c74de.png"/><Relationship Id="rId9" Type="http://schemas.openxmlformats.org/officeDocument/2006/relationships/image" Target="media/6544843e0a7d1b06bf8e8bc505af9c4df9bf66aa.png"/><Relationship Id="rId10" Type="http://schemas.openxmlformats.org/officeDocument/2006/relationships/image" Target="media/b5ad88ab24b2ff3c68a4e1aa5a92c733776a2969.png"/><Relationship Id="rId11" Type="http://schemas.openxmlformats.org/officeDocument/2006/relationships/image" Target="media/f54ea9eb2844cb35ac6fd0adebc988367906d24b.png"/><Relationship Id="rId12" Type="http://schemas.openxmlformats.org/officeDocument/2006/relationships/image" Target="media/0b3b6fab5a145cf53de2e69c499d0a981832a36d.png"/><Relationship Id="rId13" Type="http://schemas.openxmlformats.org/officeDocument/2006/relationships/image" Target="media/8f4fd7057d6b7fa066c6adadf1afdec9b1f3e117.png"/><Relationship Id="rId14" Type="http://schemas.openxmlformats.org/officeDocument/2006/relationships/image" Target="media/95378830c0ab9d831628da31d3e802fba6757aa0.png"/><Relationship Id="rId15" Type="http://schemas.openxmlformats.org/officeDocument/2006/relationships/image" Target="media/5a9e54cb9b358110a51a941dd54bf84bdfd50832.png"/><Relationship Id="rId16" Type="http://schemas.openxmlformats.org/officeDocument/2006/relationships/image" Target="media/966bd8337e7193ef4f06c6ea9ddb1c46771583ba.png"/><Relationship Id="rId17" Type="http://schemas.openxmlformats.org/officeDocument/2006/relationships/image" Target="media/7ff9806e6a3a36833d5c763c6d664bbb6715dcec.png"/><Relationship Id="rId18" Type="http://schemas.openxmlformats.org/officeDocument/2006/relationships/image" Target="media/71dbee1414472d084f0d5d9d2171a5177706c01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1: Team Plan &amp; Rough Draft</dc:title>
  <dc:creator>Anthony</dc:creator>
  <cp:lastModifiedBy>Un-named</cp:lastModifiedBy>
  <cp:revision>1</cp:revision>
  <dcterms:created xsi:type="dcterms:W3CDTF">2026-09-27T21:42:01.931Z</dcterms:created>
  <dcterms:modified xsi:type="dcterms:W3CDTF">2026-09-27T21:42:01.932Z</dcterms:modified>
</cp:coreProperties>
</file>

<file path=docProps/custom.xml><?xml version="1.0" encoding="utf-8"?>
<Properties xmlns="http://schemas.openxmlformats.org/officeDocument/2006/custom-properties" xmlns:vt="http://schemas.openxmlformats.org/officeDocument/2006/docPropsVTypes"/>
</file>