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jb11s2vcwz7o" w:id="0"/>
      <w:bookmarkEnd w:id="0"/>
      <w:r w:rsidDel="00000000" w:rsidR="00000000" w:rsidRPr="00000000">
        <w:rPr>
          <w:rtl w:val="0"/>
        </w:rPr>
        <w:t xml:space="preserve">Caso de Uso: Configurar Parámetros del Sistema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Actor(es)</w:t>
      </w:r>
      <w:r w:rsidDel="00000000" w:rsidR="00000000" w:rsidRPr="00000000">
        <w:rPr>
          <w:rtl w:val="0"/>
        </w:rPr>
        <w:t xml:space="preserve">: Administrador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Descripción</w:t>
      </w:r>
      <w:r w:rsidDel="00000000" w:rsidR="00000000" w:rsidRPr="00000000">
        <w:rPr>
          <w:rtl w:val="0"/>
        </w:rPr>
        <w:t xml:space="preserve">: Este caso de uso permite al administrador establecer y modificar los parámetros generales del sistema, asegurando que la configuración inicial sea adecuada para su funcionamiento. También permite modificar parámetros previamente configurados para ajustar el comportamiento del sistema según sea necesario.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Campos requeridos</w:t>
      </w: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Nombre de la empresa: Debe contener entre 3 y 100 caracteres. No puede estar vacío.</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Logo de la empresa: Imagen en formato JPG o PNG con un tamaño máximo de 2MB.</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Idioma predeterminado: Lista desplegable con opciones de idiomas soportados (Ejemplo: Español, Inglés).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Zona horaria: Lista desplegable con zonas horarias estándar.</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Tiempo de vencimiento de tickets inactivos: Valor numérico en días (mínimo 1, máximo 365).</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Niveles de prioridad de tickets: Se debe permitir definir al menos tres niveles de prioridad (Ejemplo: Alta, Media, Baja).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Flujo Principal</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El administrador accede a la opción de "Configuración del Sistema" en la interfaz.</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El sistema muestra los parámetros actuales del sistema si ya han sido configurados previamente.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El administrador ingresa o modifica los valores en los campos disponibles.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El sistema valida los datos ingresados: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Verifica que el nombre de la empresa no esté vacío.</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Asegura que el formato del logo sea correcto y no supere el tamaño permitido.</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Confirma que el idioma seleccionado esté dentro de las opciones disponibles.</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Valida que la zona horaria seleccionada sea válida.</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Comprueba que el tiempo de vencimiento de tickets esté dentro del rango permitido.</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Garantiza que al menos tres niveles de prioridad sean configurados.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Si todos los datos son correctos, el administrador guarda la configuración.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El sistema almacena los cambios y confirma que la configuración ha sido actualizada correctamente.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Flujos Alternos</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b w:val="1"/>
          <w:rtl w:val="0"/>
        </w:rPr>
        <w:t xml:space="preserve">Flujo Alterno 1: Error en la validación de datos</w:t>
      </w: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Si algún campo no cumple con los criterios de validación, el sistema muestra un mensaje de error indicando el problema específico.</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El administrador puede corregir los valores y volver a intentar guardar la configuración.</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b w:val="1"/>
          <w:rtl w:val="0"/>
        </w:rPr>
        <w:t xml:space="preserve">Flujo Alterno 2: Cancelación de la configuración</w:t>
      </w:r>
      <w:r w:rsidDel="00000000" w:rsidR="00000000" w:rsidRPr="00000000">
        <w:rPr>
          <w:rtl w:val="0"/>
        </w:rPr>
        <w:t xml:space="preserve"> </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El administrador decide cancelar el proceso antes de guardar los cambios.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El sistema descarta cualquier modificación realizada y mantiene la configuración anterior.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Consideraciones Especiales</w:t>
      </w: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Solo los usuarios con rol de Administrador pueden acceder y modificar estos parámetros.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El sistema debe registrar un historial de cambios indicando qué usuario realizó modificaciones y cuándo.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