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1F3864"/>
          <w:sz w:val="36"/>
          <w:szCs w:val="36"/>
        </w:rPr>
        <w:t xml:space="preserve">Caso de Uso</w:t>
      </w:r>
    </w:p>
    <w:p>
      <w:pPr>
        <w:spacing w:after="60"/>
        <w:jc w:val="center"/>
      </w:pPr>
      <w:r>
        <w:rPr>
          <w:rFonts w:ascii="Calibri" w:cs="Calibri" w:eastAsia="Calibri" w:hAnsi="Calibri"/>
          <w:sz w:val="26"/>
          <w:szCs w:val="26"/>
        </w:rPr>
        <w:t xml:space="preserve">Sistema de quejas de Restaurante Las Delicias</w:t>
      </w:r>
    </w:p>
    <w:p>
      <w:pPr>
        <w:spacing w:after="60"/>
        <w:jc w:val="center"/>
      </w:pPr>
      <w:r>
        <w:rPr>
          <w:rFonts w:ascii="Calibri" w:cs="Calibri" w:eastAsia="Calibri" w:hAnsi="Calibri"/>
          <w:b/>
          <w:bCs/>
          <w:sz w:val="30"/>
          <w:szCs w:val="30"/>
        </w:rPr>
        <w:t xml:space="preserve">CU-06 Solicitar Reapertura de Caso</w:t>
      </w:r>
    </w:p>
    <w:p>
      <w:pPr>
        <w:spacing w:after="60"/>
        <w:jc w:val="center"/>
      </w:pPr>
      <w:r>
        <w:rPr>
          <w:rFonts w:ascii="Calibri" w:cs="Calibri" w:eastAsia="Calibri" w:hAnsi="Calibri"/>
          <w:sz w:val="22"/>
          <w:szCs w:val="22"/>
        </w:rPr>
        <w:t xml:space="preserve">Versión 2.0</w:t>
      </w:r>
    </w:p>
    <w:p>
      <w:pPr>
        <w:spacing w:after="200"/>
        <w:jc w:val="center"/>
      </w:pPr>
      <w:r>
        <w:rPr>
          <w:rFonts w:ascii="Calibri" w:cs="Calibri" w:eastAsia="Calibri" w:hAnsi="Calibri"/>
          <w:sz w:val="22"/>
          <w:szCs w:val="22"/>
        </w:rPr>
        <w:t xml:space="preserve">Elaborado por Heydi Herrera, Daniel Lima   05/10/2026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2F5496"/>
          <w:sz w:val="24"/>
          <w:szCs w:val="24"/>
        </w:rPr>
        <w:t xml:space="preserve">Historial de revisiones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400"/>
        <w:gridCol w:w="4760"/>
        <w:gridCol w:w="900"/>
      </w:tblGrid>
      <w:tr>
        <w:trPr>
          <w:tblHeader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Nombre</w:t>
            </w:r>
          </w:p>
        </w:tc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Fecha</w:t>
            </w:r>
          </w:p>
        </w:tc>
        <w:tc>
          <w:tcPr>
            <w:tcW w:type="dxa" w:w="4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Descripción del cambio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Versión</w:t>
            </w:r>
          </w:p>
        </w:tc>
      </w:tr>
      <w:t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Heydi Herrera, Daniel Lima</w:t>
            </w:r>
          </w:p>
        </w:tc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14/08/2026</w:t>
            </w:r>
          </w:p>
        </w:tc>
        <w:tc>
          <w:tcPr>
            <w:tcW w:type="dxa" w:w="4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Versión original (casos de uso independientes: CU-09 Solicitar Reapertura de Caso)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1.0</w:t>
            </w:r>
          </w:p>
        </w:tc>
      </w:tr>
      <w:t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Heydi Herrera, Daniel Lima</w:t>
            </w:r>
          </w:p>
        </w:tc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05/10/2026</w:t>
            </w:r>
          </w:p>
        </w:tc>
        <w:tc>
          <w:tcPr>
            <w:tcW w:type="dxa" w:w="4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Consolidación de los casos de uso de CU-00 a CU-15 en CU-00 a CU-10; mensajes y flujos alineados con el sistema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2.0</w:t>
            </w:r>
          </w:p>
        </w:tc>
      </w:tr>
    </w:tbl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Style w:val="Heading1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1. Introducción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El presente caso de uso permite al usuario solicitar la reapertura de un caso cerrado cuando considera que la solución proporcionada no resolvió satisfactoriamente la situación.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2F5496"/>
          <w:sz w:val="24"/>
          <w:szCs w:val="24"/>
        </w:rPr>
        <w:t xml:space="preserve">Objetivo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Permitir al usuario solicitar la reactivación formal de un caso cerrado dentro del plazo establecido por el sistema.</w:t>
      </w:r>
    </w:p>
    <w:p>
      <w:pPr>
        <w:pStyle w:val="Heading1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2. Definición del caso de uso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2F5496"/>
          <w:sz w:val="24"/>
          <w:szCs w:val="24"/>
        </w:rPr>
        <w:t xml:space="preserve">2.1 Actores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Usuario (cliente).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Sistema.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2F5496"/>
          <w:sz w:val="24"/>
          <w:szCs w:val="24"/>
        </w:rPr>
        <w:t xml:space="preserve">2.2 Precondiciones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El usuario debe tener una sesión activa y ser el propietario del caso.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El caso debe encontrarse en estado “Cerrado”.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La solicitud debe realizarse dentro del plazo límite de 15 días posteriores al cierre.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2F5496"/>
          <w:sz w:val="24"/>
          <w:szCs w:val="24"/>
        </w:rPr>
        <w:t xml:space="preserve">2.3 Flujo normal básico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usuario ingresa a la sección “Mis casos” (CU-03).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usuario selecciona un caso en estado “Cerrado”.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muestra el detalle y la opción “Solicitar reapertura” (FA01).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usuario selecciona “Solicitar reapertura”.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muestra el formulario solicitando (FA02):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000"/>
        <w:gridCol w:w="1500"/>
        <w:gridCol w:w="2260"/>
      </w:tblGrid>
      <w:tr>
        <w:trPr>
          <w:tblHeader/>
        </w:trP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Nombre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Tipo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Obligatoriedad</w:t>
            </w:r>
          </w:p>
        </w:tc>
        <w:tc>
          <w:tcPr>
            <w:tcW w:type="dxa" w:w="2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Tamaño</w:t>
            </w:r>
          </w:p>
        </w:tc>
      </w:tr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motivo detallado de reapertura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texto alfanumérico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Sí</w:t>
            </w:r>
          </w:p>
        </w:tc>
        <w:tc>
          <w:tcPr>
            <w:tcW w:type="dxa" w:w="2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mínimo 10 y máximo 500 caracteres</w:t>
            </w:r>
          </w:p>
        </w:tc>
      </w:tr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evidencias o documentos de respaldo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archivo digital JPG, PNG o PDF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</w:t>
            </w:r>
          </w:p>
        </w:tc>
        <w:tc>
          <w:tcPr>
            <w:tcW w:type="dxa" w:w="2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 MB</w:t>
            </w:r>
          </w:p>
        </w:tc>
      </w:tr>
    </w:tbl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usuario ingresa los datos y presiona el botón “Enviar solicitud”.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valida que el caso se encuentre dentro del plazo permitido (15 días).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actualiza el estado a “Reapertura solicitada” en la base de datos y registra el cambio en la bitácora de auditoría (CU-10).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notifica al responsable asignado al caso; si no tiene responsable, a los Administradores Generales y a los Gerentes de la sucursal (CU-10).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muestra el mensaje de éxito: “Solicitud de reapertura enviada correctamente”.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Fin del flujo normal básico.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2F5496"/>
          <w:sz w:val="24"/>
          <w:szCs w:val="24"/>
        </w:rPr>
        <w:t xml:space="preserve">2.4 Flujos alternos</w:t>
      </w:r>
    </w:p>
    <w:p>
      <w:pPr>
        <w:keepNext/>
        <w:spacing w:after="60" w:before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FA01 – Plazo de reapertura vencido (más de 15 días):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verifica que el plazo de 15 días ha expirado.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muestra el mensaje: “El plazo para solicitar la reapertura ha vencido. Puede registrar un nuevo caso (CU-02)”.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Fin del flujo alterno.</w:t>
      </w:r>
    </w:p>
    <w:p>
      <w:pPr>
        <w:keepNext/>
        <w:spacing w:after="60" w:before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FA02 – Motivo no ingresado: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detecta que el campo de motivo está vacío.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muestra el mensaje: “Debe ingresar los campos obligatorios: Motivo de reapertura”.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Retorna al paso 5 del Flujo Normal Básico.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2F5496"/>
          <w:sz w:val="24"/>
          <w:szCs w:val="24"/>
        </w:rPr>
        <w:t xml:space="preserve">2.5 Postcondiciones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El estado del caso cambia a “Reapertura solicitada”.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El historial previo del caso se conserva intacto, sin alteraciones.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Se notifica a la administración para la revisión y dictamen del caso (CU-07).</w:t>
      </w:r>
    </w:p>
    <w:p>
      <w:pPr>
        <w:pStyle w:val="Heading1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3. Requerimientos suplementarios o no funcionales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El plazo máximo para solicitar la reapertura es de 15 días posteriores al cierre.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El historial anterior del caso no debe eliminarse.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El sistema debe registrar la fecha y hora de la solicitud.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El tiempo de respuesta no debe superar 5 segundos.</w:t>
      </w:r>
    </w:p>
    <w:p>
      <w:pPr>
        <w:pStyle w:val="Heading1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4. Firmas necesarias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000"/>
        <w:gridCol w:w="3160"/>
      </w:tblGrid>
      <w:tr>
        <w:trPr>
          <w:tblHeader/>
        </w:trP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Persona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Sector</w:t>
            </w:r>
          </w:p>
        </w:tc>
        <w:tc>
          <w:tcPr>
            <w:tcW w:type="dxa" w:w="3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Firma</w:t>
            </w:r>
          </w:p>
        </w:tc>
      </w:tr>
      <w:t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Calibri" w:cs="Calibri" w:eastAsia="Calibri" w:hAnsi="Calibri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Calibri" w:cs="Calibri" w:eastAsia="Calibri" w:hAnsi="Calibri"/>
      <w:b/>
      <w:bCs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CU-06 Solicitar Reapertura de Caso</dc:title>
  <dc:creator>Heydi Herrera, Daniel Lima</dc:creator>
  <cp:lastModifiedBy>Un-named</cp:lastModifiedBy>
  <cp:revision>1</cp:revision>
  <dcterms:created xsi:type="dcterms:W3CDTF">2026-10-06T03:14:45.892Z</dcterms:created>
  <dcterms:modified xsi:type="dcterms:W3CDTF">2026-10-06T03:14:45.892Z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