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36"/>
          <w:szCs w:val="36"/>
        </w:rPr>
        <w:t xml:space="preserve">Caso de Uso</w:t>
      </w:r>
    </w:p>
    <w:p>
      <w:pPr>
        <w:spacing w:after="60"/>
        <w:jc w:val="center"/>
      </w:pPr>
      <w:r>
        <w:rPr>
          <w:rFonts w:ascii="Calibri" w:cs="Calibri" w:eastAsia="Calibri" w:hAnsi="Calibri"/>
          <w:sz w:val="26"/>
          <w:szCs w:val="26"/>
        </w:rPr>
        <w:t xml:space="preserve">Sistema de quejas de Restaurante Las Delicias</w:t>
      </w:r>
    </w:p>
    <w:p>
      <w:pPr>
        <w:spacing w:after="60"/>
        <w:jc w:val="center"/>
      </w:pPr>
      <w:r>
        <w:rPr>
          <w:rFonts w:ascii="Calibri" w:cs="Calibri" w:eastAsia="Calibri" w:hAnsi="Calibri"/>
          <w:b/>
          <w:bCs/>
          <w:sz w:val="30"/>
          <w:szCs w:val="30"/>
        </w:rPr>
        <w:t xml:space="preserve">CU-02 Registrar Nuevo Caso (Queja, Reclamo, Denuncia o Sugerencia)</w:t>
      </w:r>
    </w:p>
    <w:p>
      <w:pPr>
        <w:spacing w:after="60"/>
        <w:jc w:val="center"/>
      </w:pPr>
      <w:r>
        <w:rPr>
          <w:rFonts w:ascii="Calibri" w:cs="Calibri" w:eastAsia="Calibri" w:hAnsi="Calibri"/>
          <w:sz w:val="22"/>
          <w:szCs w:val="22"/>
        </w:rPr>
        <w:t xml:space="preserve">Versión 2.1</w:t>
      </w:r>
    </w:p>
    <w:p>
      <w:pPr>
        <w:spacing w:after="200"/>
        <w:jc w:val="center"/>
      </w:pPr>
      <w:r>
        <w:rPr>
          <w:rFonts w:ascii="Calibri" w:cs="Calibri" w:eastAsia="Calibri" w:hAnsi="Calibri"/>
          <w:sz w:val="22"/>
          <w:szCs w:val="22"/>
        </w:rPr>
        <w:t xml:space="preserve">Elaborado por Heydi Herrera, Daniel Lima   10/10/2026</w:t>
      </w:r>
    </w:p>
    <w:p>
      <w:pPr>
        <w:pStyle w:val="Heading2"/>
        <w:spacing w:after="100" w:before="200"/>
      </w:pPr>
      <w:r>
        <w:rPr>
          <w:rFonts w:ascii="Calibri" w:cs="Calibri" w:eastAsia="Calibri" w:hAnsi="Calibri"/>
          <w:b/>
          <w:bCs/>
          <w:color w:val="2F5496"/>
          <w:sz w:val="24"/>
          <w:szCs w:val="24"/>
        </w:rPr>
        <w:t xml:space="preserve">Historial de revisiones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400"/>
        <w:gridCol w:w="4760"/>
        <w:gridCol w:w="900"/>
      </w:tblGrid>
      <w:tr>
        <w:trPr>
          <w:tblHeader/>
        </w:trPr>
        <w:tc>
          <w:tcPr>
            <w:tcW w:type="dxa" w:w="2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Nombre</w:t>
            </w:r>
          </w:p>
        </w:tc>
        <w:tc>
          <w:tcPr>
            <w:tcW w:type="dxa" w:w="1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Fecha</w:t>
            </w:r>
          </w:p>
        </w:tc>
        <w:tc>
          <w:tcPr>
            <w:tcW w:type="dxa" w:w="47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Descripción del cambio</w:t>
            </w:r>
          </w:p>
        </w:tc>
        <w:tc>
          <w:tcPr>
            <w:tcW w:type="dxa" w:w="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Versión</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Heydi Herrera, Daniel Lima</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14/08/2026</w:t>
            </w:r>
          </w:p>
        </w:tc>
        <w:tc>
          <w:tcPr>
            <w:tcW w:type="dxa" w:w="4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Versión original (casos de uso independientes: CU-05 Registrar Nuevo Caso)</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1.0</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Heydi Herrera, Daniel Lima</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05/10/2026</w:t>
            </w:r>
          </w:p>
        </w:tc>
        <w:tc>
          <w:tcPr>
            <w:tcW w:type="dxa" w:w="4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Consolidación de los casos de uso de CU-00 a CU-15 en CU-00 a CU-10; mensajes y flujos alineados con el sistema</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2.0</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Heydi Herrera, Daniel Lima</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10/10/2026</w:t>
            </w:r>
          </w:p>
        </w:tc>
        <w:tc>
          <w:tcPr>
            <w:tcW w:type="dxa" w:w="4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Redacción más fluida de los flujos, con los nombres reales de botones, apartados y mensajes de la interfaz; se agregan los flujos de reasignación y aprobación de respuestas</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2.1</w:t>
            </w:r>
          </w:p>
        </w:tc>
      </w:tr>
    </w:tbl>
    <w:p>
      <w:pPr>
        <w:spacing w:after="100"/>
      </w:pPr>
      <w:r>
        <w:rPr>
          <w:rFonts w:ascii="Calibri" w:cs="Calibri" w:eastAsia="Calibri" w:hAnsi="Calibri"/>
          <w:sz w:val="22"/>
          <w:szCs w:val="22"/>
        </w:rPr>
        <w:t xml:space="preserve"/>
      </w:r>
    </w:p>
    <w:p>
      <w:pPr>
        <w:pStyle w:val="Heading1"/>
        <w:spacing w:after="120" w:before="240"/>
      </w:pPr>
      <w:r>
        <w:rPr>
          <w:rFonts w:ascii="Calibri" w:cs="Calibri" w:eastAsia="Calibri" w:hAnsi="Calibri"/>
          <w:b/>
          <w:bCs/>
          <w:color w:val="1F3864"/>
          <w:sz w:val="28"/>
          <w:szCs w:val="28"/>
        </w:rPr>
        <w:t xml:space="preserve">1. Introducción</w:t>
      </w:r>
    </w:p>
    <w:p>
      <w:pPr>
        <w:spacing w:after="100"/>
      </w:pPr>
      <w:r>
        <w:rPr>
          <w:rFonts w:ascii="Calibri" w:cs="Calibri" w:eastAsia="Calibri" w:hAnsi="Calibri"/>
          <w:sz w:val="22"/>
          <w:szCs w:val="22"/>
        </w:rPr>
        <w:t xml:space="preserve">Este caso de uso describe cómo un cliente registra formalmente una situación ocurrida en una sucursal del restaurante, clasificándola como queja, reclamo, denuncia o sugerencia, y adjuntando evidencias si las tiene.</w:t>
      </w:r>
    </w:p>
    <w:p>
      <w:pPr>
        <w:pStyle w:val="Heading2"/>
        <w:spacing w:after="100" w:before="200"/>
      </w:pPr>
      <w:r>
        <w:rPr>
          <w:rFonts w:ascii="Calibri" w:cs="Calibri" w:eastAsia="Calibri" w:hAnsi="Calibri"/>
          <w:b/>
          <w:bCs/>
          <w:color w:val="2F5496"/>
          <w:sz w:val="24"/>
          <w:szCs w:val="24"/>
        </w:rPr>
        <w:t xml:space="preserve">Objetivo</w:t>
      </w:r>
    </w:p>
    <w:p>
      <w:pPr>
        <w:spacing w:after="100"/>
      </w:pPr>
      <w:r>
        <w:rPr>
          <w:rFonts w:ascii="Calibri" w:cs="Calibri" w:eastAsia="Calibri" w:hAnsi="Calibri"/>
          <w:sz w:val="22"/>
          <w:szCs w:val="22"/>
        </w:rPr>
        <w:t xml:space="preserve">Registrar un nuevo caso con la información necesaria para que el personal administrativo pueda analizarlo, gestionarlo y emitir una resolución, entregando al cliente un código para darle seguimiento.</w:t>
      </w:r>
    </w:p>
    <w:p>
      <w:pPr>
        <w:pStyle w:val="Heading1"/>
        <w:spacing w:after="120" w:before="240"/>
      </w:pPr>
      <w:r>
        <w:rPr>
          <w:rFonts w:ascii="Calibri" w:cs="Calibri" w:eastAsia="Calibri" w:hAnsi="Calibri"/>
          <w:b/>
          <w:bCs/>
          <w:color w:val="1F3864"/>
          <w:sz w:val="28"/>
          <w:szCs w:val="28"/>
        </w:rPr>
        <w:t xml:space="preserve">2. Definición del caso de uso</w:t>
      </w:r>
    </w:p>
    <w:p>
      <w:pPr>
        <w:pStyle w:val="Heading2"/>
        <w:spacing w:after="100" w:before="200"/>
      </w:pPr>
      <w:r>
        <w:rPr>
          <w:rFonts w:ascii="Calibri" w:cs="Calibri" w:eastAsia="Calibri" w:hAnsi="Calibri"/>
          <w:b/>
          <w:bCs/>
          <w:color w:val="2F5496"/>
          <w:sz w:val="24"/>
          <w:szCs w:val="24"/>
        </w:rPr>
        <w:t xml:space="preserve">2.1 Actores</w:t>
      </w:r>
    </w:p>
    <w:p>
      <w:pPr>
        <w:pStyle w:val="ListParagraph"/>
        <w:numPr>
          <w:ilvl w:val="0"/>
          <w:numId w:val="2"/>
        </w:numPr>
        <w:spacing w:after="60"/>
      </w:pPr>
      <w:r>
        <w:rPr>
          <w:rFonts w:ascii="Calibri" w:cs="Calibri" w:eastAsia="Calibri" w:hAnsi="Calibri"/>
          <w:sz w:val="22"/>
          <w:szCs w:val="22"/>
        </w:rPr>
        <w:t xml:space="preserve">Usuario (cliente).</w:t>
      </w:r>
    </w:p>
    <w:p>
      <w:pPr>
        <w:pStyle w:val="ListParagraph"/>
        <w:numPr>
          <w:ilvl w:val="0"/>
          <w:numId w:val="2"/>
        </w:numPr>
        <w:spacing w:after="60"/>
      </w:pPr>
      <w:r>
        <w:rPr>
          <w:rFonts w:ascii="Calibri" w:cs="Calibri" w:eastAsia="Calibri" w:hAnsi="Calibri"/>
          <w:sz w:val="22"/>
          <w:szCs w:val="22"/>
        </w:rPr>
        <w:t xml:space="preserve">Sistema.</w:t>
      </w:r>
    </w:p>
    <w:p>
      <w:pPr>
        <w:pStyle w:val="Heading2"/>
        <w:spacing w:after="100" w:before="200"/>
      </w:pPr>
      <w:r>
        <w:rPr>
          <w:rFonts w:ascii="Calibri" w:cs="Calibri" w:eastAsia="Calibri" w:hAnsi="Calibri"/>
          <w:b/>
          <w:bCs/>
          <w:color w:val="2F5496"/>
          <w:sz w:val="24"/>
          <w:szCs w:val="24"/>
        </w:rPr>
        <w:t xml:space="preserve">2.2 Precondiciones</w:t>
      </w:r>
    </w:p>
    <w:p>
      <w:pPr>
        <w:pStyle w:val="ListParagraph"/>
        <w:numPr>
          <w:ilvl w:val="0"/>
          <w:numId w:val="2"/>
        </w:numPr>
        <w:spacing w:after="60"/>
      </w:pPr>
      <w:r>
        <w:rPr>
          <w:rFonts w:ascii="Calibri" w:cs="Calibri" w:eastAsia="Calibri" w:hAnsi="Calibri"/>
          <w:sz w:val="22"/>
          <w:szCs w:val="22"/>
        </w:rPr>
        <w:t xml:space="preserve">El cliente tiene la sesión iniciada (CU-00).</w:t>
      </w:r>
    </w:p>
    <w:p>
      <w:pPr>
        <w:pStyle w:val="ListParagraph"/>
        <w:numPr>
          <w:ilvl w:val="0"/>
          <w:numId w:val="2"/>
        </w:numPr>
        <w:spacing w:after="60"/>
      </w:pPr>
      <w:r>
        <w:rPr>
          <w:rFonts w:ascii="Calibri" w:cs="Calibri" w:eastAsia="Calibri" w:hAnsi="Calibri"/>
          <w:sz w:val="22"/>
          <w:szCs w:val="22"/>
        </w:rPr>
        <w:t xml:space="preserve">El sistema se encuentra activo.</w:t>
      </w:r>
    </w:p>
    <w:p>
      <w:pPr>
        <w:pStyle w:val="ListParagraph"/>
        <w:numPr>
          <w:ilvl w:val="0"/>
          <w:numId w:val="2"/>
        </w:numPr>
        <w:spacing w:after="60"/>
      </w:pPr>
      <w:r>
        <w:rPr>
          <w:rFonts w:ascii="Calibri" w:cs="Calibri" w:eastAsia="Calibri" w:hAnsi="Calibri"/>
          <w:sz w:val="22"/>
          <w:szCs w:val="22"/>
        </w:rPr>
        <w:t xml:space="preserve">Existen sucursales, tipos de caso y categorías disponibles para seleccionar.</w:t>
      </w:r>
    </w:p>
    <w:p>
      <w:pPr>
        <w:pStyle w:val="Heading2"/>
        <w:spacing w:after="100" w:before="200"/>
      </w:pPr>
      <w:r>
        <w:rPr>
          <w:rFonts w:ascii="Calibri" w:cs="Calibri" w:eastAsia="Calibri" w:hAnsi="Calibri"/>
          <w:b/>
          <w:bCs/>
          <w:color w:val="2F5496"/>
          <w:sz w:val="24"/>
          <w:szCs w:val="24"/>
        </w:rPr>
        <w:t xml:space="preserve">2.3 Flujo normal básico</w:t>
      </w:r>
    </w:p>
    <w:p>
      <w:pPr>
        <w:pStyle w:val="ListParagraph"/>
        <w:numPr>
          <w:ilvl w:val="0"/>
          <w:numId w:val="3"/>
        </w:numPr>
        <w:spacing w:after="80"/>
      </w:pPr>
      <w:r>
        <w:rPr>
          <w:rFonts w:ascii="Calibri" w:cs="Calibri" w:eastAsia="Calibri" w:hAnsi="Calibri"/>
          <w:sz w:val="22"/>
          <w:szCs w:val="22"/>
        </w:rPr>
        <w:t xml:space="preserve">En el menú lateral izquierdo, el usuario selecciona “Nuevo caso”.</w:t>
      </w:r>
    </w:p>
    <w:p>
      <w:pPr>
        <w:pStyle w:val="ListParagraph"/>
        <w:numPr>
          <w:ilvl w:val="0"/>
          <w:numId w:val="3"/>
        </w:numPr>
        <w:spacing w:after="80"/>
      </w:pPr>
      <w:r>
        <w:rPr>
          <w:rFonts w:ascii="Calibri" w:cs="Calibri" w:eastAsia="Calibri" w:hAnsi="Calibri"/>
          <w:sz w:val="22"/>
          <w:szCs w:val="22"/>
        </w:rPr>
        <w:t xml:space="preserve">El sistema muestra la pantalla “Nuevo caso” con el formulario para registrar una queja, reclamo, denuncia o sugerencia, que solicita los siguientes campos (FA01):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1500"/>
        <w:gridCol w:w="2260"/>
      </w:tblGrid>
      <w:tr>
        <w:trPr>
          <w:tblHeader/>
        </w:trPr>
        <w:tc>
          <w:tcPr>
            <w:tcW w:type="dxa" w:w="2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Nombre</w:t>
            </w:r>
          </w:p>
        </w:tc>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Tipo</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Obligatoriedad</w:t>
            </w:r>
          </w:p>
        </w:tc>
        <w:tc>
          <w:tcPr>
            <w:tcW w:type="dxa" w:w="22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Tamaño</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tipo de caso</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catálogo (lista desplegable)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Sí</w:t>
            </w:r>
          </w:p>
        </w:tc>
        <w:tc>
          <w:tcPr>
            <w:tcW w:type="dxa" w:w="2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50 caracteres</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sucursal</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catálogo (lista desplegable)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Sí</w:t>
            </w:r>
          </w:p>
        </w:tc>
        <w:tc>
          <w:tcPr>
            <w:tcW w:type="dxa" w:w="2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50 caracteres</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categoría del servicio</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catálogo (lista desplegable)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Sí</w:t>
            </w:r>
          </w:p>
        </w:tc>
        <w:tc>
          <w:tcPr>
            <w:tcW w:type="dxa" w:w="2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50 caracteres</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número de factura (opcional)</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alfanumérico (solo letras y números, sin símbolos)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No</w:t>
            </w:r>
          </w:p>
        </w:tc>
        <w:tc>
          <w:tcPr>
            <w:tcW w:type="dxa" w:w="2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20 caracteres</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nombre del empleado involucrado (opcional)</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texto alfabético</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No</w:t>
            </w:r>
          </w:p>
        </w:tc>
        <w:tc>
          <w:tcPr>
            <w:tcW w:type="dxa" w:w="2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100 caracteres</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descripción del caso</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texto alfanumérico</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Sí</w:t>
            </w:r>
          </w:p>
        </w:tc>
        <w:tc>
          <w:tcPr>
            <w:tcW w:type="dxa" w:w="2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mínimo 10 y máximo 1000 caracteres</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adjuntar evidencias (opcional)</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archivos digitales en formato JPG, PNG o PDF</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No</w:t>
            </w:r>
          </w:p>
        </w:tc>
        <w:tc>
          <w:tcPr>
            <w:tcW w:type="dxa" w:w="2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máximo 2 MB por archivo</w:t>
            </w:r>
          </w:p>
        </w:tc>
      </w:tr>
    </w:tbl>
    <w:p>
      <w:pPr>
        <w:spacing w:after="100"/>
      </w:pPr>
      <w:r>
        <w:rPr>
          <w:rFonts w:ascii="Calibri" w:cs="Calibri" w:eastAsia="Calibri" w:hAnsi="Calibri"/>
          <w:sz w:val="22"/>
          <w:szCs w:val="22"/>
        </w:rPr>
        <w:t xml:space="preserve"/>
      </w:r>
    </w:p>
    <w:p>
      <w:pPr>
        <w:pStyle w:val="ListParagraph"/>
        <w:numPr>
          <w:ilvl w:val="0"/>
          <w:numId w:val="3"/>
        </w:numPr>
        <w:spacing w:after="80"/>
      </w:pPr>
      <w:r>
        <w:rPr>
          <w:rFonts w:ascii="Calibri" w:cs="Calibri" w:eastAsia="Calibri" w:hAnsi="Calibri"/>
          <w:sz w:val="22"/>
          <w:szCs w:val="22"/>
        </w:rPr>
        <w:t xml:space="preserve">Si el usuario elige el tipo “Denuncia”, aparece además la casilla “Registrar como denuncia anónima (se ocultarán mis datos personales)”, que puede marcar si desea que sus datos no sean visibles para el personal (FA04).</w:t>
      </w:r>
    </w:p>
    <w:p>
      <w:pPr>
        <w:pStyle w:val="ListParagraph"/>
        <w:numPr>
          <w:ilvl w:val="0"/>
          <w:numId w:val="3"/>
        </w:numPr>
        <w:spacing w:after="80"/>
      </w:pPr>
      <w:r>
        <w:rPr>
          <w:rFonts w:ascii="Calibri" w:cs="Calibri" w:eastAsia="Calibri" w:hAnsi="Calibri"/>
          <w:sz w:val="22"/>
          <w:szCs w:val="22"/>
        </w:rPr>
        <w:t xml:space="preserve">El usuario completa el formulario y presiona el botón “Registrar caso”.</w:t>
      </w:r>
    </w:p>
    <w:p>
      <w:pPr>
        <w:pStyle w:val="ListParagraph"/>
        <w:numPr>
          <w:ilvl w:val="0"/>
          <w:numId w:val="3"/>
        </w:numPr>
        <w:spacing w:after="80"/>
      </w:pPr>
      <w:r>
        <w:rPr>
          <w:rFonts w:ascii="Calibri" w:cs="Calibri" w:eastAsia="Calibri" w:hAnsi="Calibri"/>
          <w:sz w:val="22"/>
          <w:szCs w:val="22"/>
        </w:rPr>
        <w:t xml:space="preserve">El sistema valida los campos obligatorios, el formato del número de factura y del nombre del empleado y, si se adjuntaron archivos, su formato y tamaño (FA01, FA02, FA03, FA05). Si algún dato o archivo es inválido, el caso no se crea.</w:t>
      </w:r>
    </w:p>
    <w:p>
      <w:pPr>
        <w:pStyle w:val="ListParagraph"/>
        <w:numPr>
          <w:ilvl w:val="0"/>
          <w:numId w:val="3"/>
        </w:numPr>
        <w:spacing w:after="80"/>
      </w:pPr>
      <w:r>
        <w:rPr>
          <w:rFonts w:ascii="Calibri" w:cs="Calibri" w:eastAsia="Calibri" w:hAnsi="Calibri"/>
          <w:sz w:val="22"/>
          <w:szCs w:val="22"/>
        </w:rPr>
        <w:t xml:space="preserve">El sistema genera el código único del caso y lo guarda en la base de datos con el estado inicial “Nuevo”.</w:t>
      </w:r>
    </w:p>
    <w:p>
      <w:pPr>
        <w:pStyle w:val="ListParagraph"/>
        <w:numPr>
          <w:ilvl w:val="0"/>
          <w:numId w:val="3"/>
        </w:numPr>
        <w:spacing w:after="80"/>
      </w:pPr>
      <w:r>
        <w:rPr>
          <w:rFonts w:ascii="Calibri" w:cs="Calibri" w:eastAsia="Calibri" w:hAnsi="Calibri"/>
          <w:sz w:val="22"/>
          <w:szCs w:val="22"/>
        </w:rPr>
        <w:t xml:space="preserve">El sistema envía al usuario un correo con su número de seguimiento y notifica al personal administrativo: a los Administradores Generales y a los Gerentes de la sucursal del caso (CU-10).</w:t>
      </w:r>
    </w:p>
    <w:p>
      <w:pPr>
        <w:pStyle w:val="ListParagraph"/>
        <w:numPr>
          <w:ilvl w:val="0"/>
          <w:numId w:val="3"/>
        </w:numPr>
        <w:spacing w:after="80"/>
      </w:pPr>
      <w:r>
        <w:rPr>
          <w:rFonts w:ascii="Calibri" w:cs="Calibri" w:eastAsia="Calibri" w:hAnsi="Calibri"/>
          <w:sz w:val="22"/>
          <w:szCs w:val="22"/>
        </w:rPr>
        <w:t xml:space="preserve">El sistema muestra el mensaje de éxito “Caso registrado exitosamente. Código asignado: &lt;código del caso&gt;”.</w:t>
      </w:r>
    </w:p>
    <w:p>
      <w:pPr>
        <w:pStyle w:val="ListParagraph"/>
        <w:numPr>
          <w:ilvl w:val="0"/>
          <w:numId w:val="3"/>
        </w:numPr>
        <w:spacing w:after="80"/>
      </w:pPr>
      <w:r>
        <w:rPr>
          <w:rFonts w:ascii="Calibri" w:cs="Calibri" w:eastAsia="Calibri" w:hAnsi="Calibri"/>
          <w:sz w:val="22"/>
          <w:szCs w:val="22"/>
        </w:rPr>
        <w:t xml:space="preserve">El sistema lleva al usuario a la pantalla “Mis casos” (CU-03), donde el nuevo caso aparece en la lista.</w:t>
      </w:r>
    </w:p>
    <w:p>
      <w:pPr>
        <w:pStyle w:val="ListParagraph"/>
        <w:numPr>
          <w:ilvl w:val="0"/>
          <w:numId w:val="3"/>
        </w:numPr>
        <w:spacing w:after="80"/>
      </w:pPr>
      <w:r>
        <w:rPr>
          <w:rFonts w:ascii="Calibri" w:cs="Calibri" w:eastAsia="Calibri" w:hAnsi="Calibri"/>
          <w:sz w:val="22"/>
          <w:szCs w:val="22"/>
        </w:rPr>
        <w:t xml:space="preserve">Fin del flujo normal básico.</w:t>
      </w:r>
    </w:p>
    <w:p>
      <w:pPr>
        <w:pStyle w:val="Heading2"/>
        <w:spacing w:after="100" w:before="200"/>
      </w:pPr>
      <w:r>
        <w:rPr>
          <w:rFonts w:ascii="Calibri" w:cs="Calibri" w:eastAsia="Calibri" w:hAnsi="Calibri"/>
          <w:b/>
          <w:bCs/>
          <w:color w:val="2F5496"/>
          <w:sz w:val="24"/>
          <w:szCs w:val="24"/>
        </w:rPr>
        <w:t xml:space="preserve">2.4 Flujos alternos</w:t>
      </w:r>
    </w:p>
    <w:p>
      <w:pPr>
        <w:keepNext/>
        <w:spacing w:after="60" w:before="140"/>
      </w:pPr>
      <w:r>
        <w:rPr>
          <w:rFonts w:ascii="Calibri" w:cs="Calibri" w:eastAsia="Calibri" w:hAnsi="Calibri"/>
          <w:b/>
          <w:bCs/>
          <w:sz w:val="22"/>
          <w:szCs w:val="22"/>
        </w:rPr>
        <w:t xml:space="preserve">FA01 – Campos obligatorios sin completar:</w:t>
      </w:r>
    </w:p>
    <w:p>
      <w:pPr>
        <w:pStyle w:val="ListParagraph"/>
        <w:numPr>
          <w:ilvl w:val="0"/>
          <w:numId w:val="4"/>
        </w:numPr>
        <w:spacing w:after="80"/>
      </w:pPr>
      <w:r>
        <w:rPr>
          <w:rFonts w:ascii="Calibri" w:cs="Calibri" w:eastAsia="Calibri" w:hAnsi="Calibri"/>
          <w:sz w:val="22"/>
          <w:szCs w:val="22"/>
        </w:rPr>
        <w:t xml:space="preserve">El usuario presiona “Registrar caso” sin elegir el tipo, la sucursal o la categoría, o con una descripción menor de 10 caracteres.</w:t>
      </w:r>
    </w:p>
    <w:p>
      <w:pPr>
        <w:pStyle w:val="ListParagraph"/>
        <w:numPr>
          <w:ilvl w:val="0"/>
          <w:numId w:val="4"/>
        </w:numPr>
        <w:spacing w:after="80"/>
      </w:pPr>
      <w:r>
        <w:rPr>
          <w:rFonts w:ascii="Calibri" w:cs="Calibri" w:eastAsia="Calibri" w:hAnsi="Calibri"/>
          <w:sz w:val="22"/>
          <w:szCs w:val="22"/>
        </w:rPr>
        <w:t xml:space="preserve">El sistema muestra el mensaje: “Debe ingresar los campos obligatorios”.</w:t>
      </w:r>
    </w:p>
    <w:p>
      <w:pPr>
        <w:pStyle w:val="ListParagraph"/>
        <w:numPr>
          <w:ilvl w:val="0"/>
          <w:numId w:val="4"/>
        </w:numPr>
        <w:spacing w:after="80"/>
      </w:pPr>
      <w:r>
        <w:rPr>
          <w:rFonts w:ascii="Calibri" w:cs="Calibri" w:eastAsia="Calibri" w:hAnsi="Calibri"/>
          <w:sz w:val="22"/>
          <w:szCs w:val="22"/>
        </w:rPr>
        <w:t xml:space="preserve">El sistema retorna al paso 2 del Flujo Normal Básico.</w:t>
      </w:r>
    </w:p>
    <w:p>
      <w:pPr>
        <w:keepNext/>
        <w:spacing w:after="60" w:before="140"/>
      </w:pPr>
      <w:r>
        <w:rPr>
          <w:rFonts w:ascii="Calibri" w:cs="Calibri" w:eastAsia="Calibri" w:hAnsi="Calibri"/>
          <w:b/>
          <w:bCs/>
          <w:sz w:val="22"/>
          <w:szCs w:val="22"/>
        </w:rPr>
        <w:t xml:space="preserve">FA02 – Número de factura con formato no válido:</w:t>
      </w:r>
    </w:p>
    <w:p>
      <w:pPr>
        <w:pStyle w:val="ListParagraph"/>
        <w:numPr>
          <w:ilvl w:val="0"/>
          <w:numId w:val="5"/>
        </w:numPr>
        <w:spacing w:after="80"/>
      </w:pPr>
      <w:r>
        <w:rPr>
          <w:rFonts w:ascii="Calibri" w:cs="Calibri" w:eastAsia="Calibri" w:hAnsi="Calibri"/>
          <w:sz w:val="22"/>
          <w:szCs w:val="22"/>
        </w:rPr>
        <w:t xml:space="preserve">El usuario escribió símbolos o espacios en el número de factura.</w:t>
      </w:r>
    </w:p>
    <w:p>
      <w:pPr>
        <w:pStyle w:val="ListParagraph"/>
        <w:numPr>
          <w:ilvl w:val="0"/>
          <w:numId w:val="5"/>
        </w:numPr>
        <w:spacing w:after="80"/>
      </w:pPr>
      <w:r>
        <w:rPr>
          <w:rFonts w:ascii="Calibri" w:cs="Calibri" w:eastAsia="Calibri" w:hAnsi="Calibri"/>
          <w:sz w:val="22"/>
          <w:szCs w:val="22"/>
        </w:rPr>
        <w:t xml:space="preserve">El sistema muestra el mensaje: “El formato de la factura es inválido”.</w:t>
      </w:r>
    </w:p>
    <w:p>
      <w:pPr>
        <w:pStyle w:val="ListParagraph"/>
        <w:numPr>
          <w:ilvl w:val="0"/>
          <w:numId w:val="5"/>
        </w:numPr>
        <w:spacing w:after="80"/>
      </w:pPr>
      <w:r>
        <w:rPr>
          <w:rFonts w:ascii="Calibri" w:cs="Calibri" w:eastAsia="Calibri" w:hAnsi="Calibri"/>
          <w:sz w:val="22"/>
          <w:szCs w:val="22"/>
        </w:rPr>
        <w:t xml:space="preserve">El usuario corrige el dato o deja el campo vacío, porque es opcional, y retorna al paso 4 del Flujo Normal Básico.</w:t>
      </w:r>
    </w:p>
    <w:p>
      <w:pPr>
        <w:keepNext/>
        <w:spacing w:after="60" w:before="140"/>
      </w:pPr>
      <w:r>
        <w:rPr>
          <w:rFonts w:ascii="Calibri" w:cs="Calibri" w:eastAsia="Calibri" w:hAnsi="Calibri"/>
          <w:b/>
          <w:bCs/>
          <w:sz w:val="22"/>
          <w:szCs w:val="22"/>
        </w:rPr>
        <w:t xml:space="preserve">FA03 – Archivo no válido o mayor de 2 MB:</w:t>
      </w:r>
    </w:p>
    <w:p>
      <w:pPr>
        <w:pStyle w:val="ListParagraph"/>
        <w:numPr>
          <w:ilvl w:val="0"/>
          <w:numId w:val="6"/>
        </w:numPr>
        <w:spacing w:after="80"/>
      </w:pPr>
      <w:r>
        <w:rPr>
          <w:rFonts w:ascii="Calibri" w:cs="Calibri" w:eastAsia="Calibri" w:hAnsi="Calibri"/>
          <w:sz w:val="22"/>
          <w:szCs w:val="22"/>
        </w:rPr>
        <w:t xml:space="preserve">El usuario adjunta un archivo que no es JPG, PNG o PDF, o que supera los 2 MB.</w:t>
      </w:r>
    </w:p>
    <w:p>
      <w:pPr>
        <w:pStyle w:val="ListParagraph"/>
        <w:numPr>
          <w:ilvl w:val="0"/>
          <w:numId w:val="6"/>
        </w:numPr>
        <w:spacing w:after="80"/>
      </w:pPr>
      <w:r>
        <w:rPr>
          <w:rFonts w:ascii="Calibri" w:cs="Calibri" w:eastAsia="Calibri" w:hAnsi="Calibri"/>
          <w:sz w:val="22"/>
          <w:szCs w:val="22"/>
        </w:rPr>
        <w:t xml:space="preserve">El sistema muestra el mensaje: “El archivo adjunto supera los 2 MB o no corresponde a un formato permitido (PDF/Imagen)”.</w:t>
      </w:r>
    </w:p>
    <w:p>
      <w:pPr>
        <w:pStyle w:val="ListParagraph"/>
        <w:numPr>
          <w:ilvl w:val="0"/>
          <w:numId w:val="6"/>
        </w:numPr>
        <w:spacing w:after="80"/>
      </w:pPr>
      <w:r>
        <w:rPr>
          <w:rFonts w:ascii="Calibri" w:cs="Calibri" w:eastAsia="Calibri" w:hAnsi="Calibri"/>
          <w:sz w:val="22"/>
          <w:szCs w:val="22"/>
        </w:rPr>
        <w:t xml:space="preserve">El usuario selecciona un archivo válido y retorna al paso 4 del Flujo Normal Básico.</w:t>
      </w:r>
    </w:p>
    <w:p>
      <w:pPr>
        <w:keepNext/>
        <w:spacing w:after="60" w:before="140"/>
      </w:pPr>
      <w:r>
        <w:rPr>
          <w:rFonts w:ascii="Calibri" w:cs="Calibri" w:eastAsia="Calibri" w:hAnsi="Calibri"/>
          <w:b/>
          <w:bCs/>
          <w:sz w:val="22"/>
          <w:szCs w:val="22"/>
        </w:rPr>
        <w:t xml:space="preserve">FA04 – Denuncia anónima:</w:t>
      </w:r>
    </w:p>
    <w:p>
      <w:pPr>
        <w:pStyle w:val="ListParagraph"/>
        <w:numPr>
          <w:ilvl w:val="0"/>
          <w:numId w:val="7"/>
        </w:numPr>
        <w:spacing w:after="80"/>
      </w:pPr>
      <w:r>
        <w:rPr>
          <w:rFonts w:ascii="Calibri" w:cs="Calibri" w:eastAsia="Calibri" w:hAnsi="Calibri"/>
          <w:sz w:val="22"/>
          <w:szCs w:val="22"/>
        </w:rPr>
        <w:t xml:space="preserve">El usuario elige el tipo “Denuncia” y marca “Registrar como denuncia anónima”.</w:t>
      </w:r>
    </w:p>
    <w:p>
      <w:pPr>
        <w:pStyle w:val="ListParagraph"/>
        <w:numPr>
          <w:ilvl w:val="0"/>
          <w:numId w:val="7"/>
        </w:numPr>
        <w:spacing w:after="80"/>
      </w:pPr>
      <w:r>
        <w:rPr>
          <w:rFonts w:ascii="Calibri" w:cs="Calibri" w:eastAsia="Calibri" w:hAnsi="Calibri"/>
          <w:sz w:val="22"/>
          <w:szCs w:val="22"/>
        </w:rPr>
        <w:t xml:space="preserve">El sistema registra el caso ocultando los datos personales del cliente en todos los paneles administrativos, incluido el del Administrador General. La casilla solo está disponible para el tipo “Denuncia”.</w:t>
      </w:r>
    </w:p>
    <w:p>
      <w:pPr>
        <w:pStyle w:val="ListParagraph"/>
        <w:numPr>
          <w:ilvl w:val="0"/>
          <w:numId w:val="7"/>
        </w:numPr>
        <w:spacing w:after="80"/>
      </w:pPr>
      <w:r>
        <w:rPr>
          <w:rFonts w:ascii="Calibri" w:cs="Calibri" w:eastAsia="Calibri" w:hAnsi="Calibri"/>
          <w:sz w:val="22"/>
          <w:szCs w:val="22"/>
        </w:rPr>
        <w:t xml:space="preserve">El flujo continúa en el paso 4 del Flujo Normal Básico.</w:t>
      </w:r>
    </w:p>
    <w:p>
      <w:pPr>
        <w:keepNext/>
        <w:spacing w:after="60" w:before="140"/>
      </w:pPr>
      <w:r>
        <w:rPr>
          <w:rFonts w:ascii="Calibri" w:cs="Calibri" w:eastAsia="Calibri" w:hAnsi="Calibri"/>
          <w:b/>
          <w:bCs/>
          <w:sz w:val="22"/>
          <w:szCs w:val="22"/>
        </w:rPr>
        <w:t xml:space="preserve">FA05 – Nombre del empleado con formato no válido:</w:t>
      </w:r>
    </w:p>
    <w:p>
      <w:pPr>
        <w:pStyle w:val="ListParagraph"/>
        <w:numPr>
          <w:ilvl w:val="0"/>
          <w:numId w:val="8"/>
        </w:numPr>
        <w:spacing w:after="80"/>
      </w:pPr>
      <w:r>
        <w:rPr>
          <w:rFonts w:ascii="Calibri" w:cs="Calibri" w:eastAsia="Calibri" w:hAnsi="Calibri"/>
          <w:sz w:val="22"/>
          <w:szCs w:val="22"/>
        </w:rPr>
        <w:t xml:space="preserve">El usuario escribió números o símbolos en el nombre del empleado involucrado.</w:t>
      </w:r>
    </w:p>
    <w:p>
      <w:pPr>
        <w:pStyle w:val="ListParagraph"/>
        <w:numPr>
          <w:ilvl w:val="0"/>
          <w:numId w:val="8"/>
        </w:numPr>
        <w:spacing w:after="80"/>
      </w:pPr>
      <w:r>
        <w:rPr>
          <w:rFonts w:ascii="Calibri" w:cs="Calibri" w:eastAsia="Calibri" w:hAnsi="Calibri"/>
          <w:sz w:val="22"/>
          <w:szCs w:val="22"/>
        </w:rPr>
        <w:t xml:space="preserve">El sistema muestra el mensaje: “El nombre del empleado involucrado solo puede contener letras (máximo 100 caracteres)”.</w:t>
      </w:r>
    </w:p>
    <w:p>
      <w:pPr>
        <w:pStyle w:val="ListParagraph"/>
        <w:numPr>
          <w:ilvl w:val="0"/>
          <w:numId w:val="8"/>
        </w:numPr>
        <w:spacing w:after="80"/>
      </w:pPr>
      <w:r>
        <w:rPr>
          <w:rFonts w:ascii="Calibri" w:cs="Calibri" w:eastAsia="Calibri" w:hAnsi="Calibri"/>
          <w:sz w:val="22"/>
          <w:szCs w:val="22"/>
        </w:rPr>
        <w:t xml:space="preserve">El usuario corrige el dato o deja el campo vacío, y retorna al paso 4 del Flujo Normal Básico.</w:t>
      </w:r>
    </w:p>
    <w:p>
      <w:pPr>
        <w:pStyle w:val="Heading2"/>
        <w:spacing w:after="100" w:before="200"/>
      </w:pPr>
      <w:r>
        <w:rPr>
          <w:rFonts w:ascii="Calibri" w:cs="Calibri" w:eastAsia="Calibri" w:hAnsi="Calibri"/>
          <w:b/>
          <w:bCs/>
          <w:color w:val="2F5496"/>
          <w:sz w:val="24"/>
          <w:szCs w:val="24"/>
        </w:rPr>
        <w:t xml:space="preserve">2.5 Postcondiciones</w:t>
      </w:r>
    </w:p>
    <w:p>
      <w:pPr>
        <w:pStyle w:val="ListParagraph"/>
        <w:numPr>
          <w:ilvl w:val="0"/>
          <w:numId w:val="2"/>
        </w:numPr>
        <w:spacing w:after="60"/>
      </w:pPr>
      <w:r>
        <w:rPr>
          <w:rFonts w:ascii="Calibri" w:cs="Calibri" w:eastAsia="Calibri" w:hAnsi="Calibri"/>
          <w:sz w:val="22"/>
          <w:szCs w:val="22"/>
        </w:rPr>
        <w:t xml:space="preserve">El caso queda registrado con un identificador único y en estado “Nuevo”.</w:t>
      </w:r>
    </w:p>
    <w:p>
      <w:pPr>
        <w:pStyle w:val="ListParagraph"/>
        <w:numPr>
          <w:ilvl w:val="0"/>
          <w:numId w:val="2"/>
        </w:numPr>
        <w:spacing w:after="60"/>
      </w:pPr>
      <w:r>
        <w:rPr>
          <w:rFonts w:ascii="Calibri" w:cs="Calibri" w:eastAsia="Calibri" w:hAnsi="Calibri"/>
          <w:sz w:val="22"/>
          <w:szCs w:val="22"/>
        </w:rPr>
        <w:t xml:space="preserve">El caso queda disponible para el cliente en “Mis casos” (CU-03) y para el personal administrativo en la bandeja de casos (CU-07).</w:t>
      </w:r>
    </w:p>
    <w:p>
      <w:pPr>
        <w:pStyle w:val="ListParagraph"/>
        <w:numPr>
          <w:ilvl w:val="0"/>
          <w:numId w:val="2"/>
        </w:numPr>
        <w:spacing w:after="60"/>
      </w:pPr>
      <w:r>
        <w:rPr>
          <w:rFonts w:ascii="Calibri" w:cs="Calibri" w:eastAsia="Calibri" w:hAnsi="Calibri"/>
          <w:sz w:val="22"/>
          <w:szCs w:val="22"/>
        </w:rPr>
        <w:t xml:space="preserve">Se generan las notificaciones y el registro de auditoría correspondientes (CU-10).</w:t>
      </w:r>
    </w:p>
    <w:p>
      <w:pPr>
        <w:pStyle w:val="Heading1"/>
        <w:spacing w:after="120" w:before="240"/>
      </w:pPr>
      <w:r>
        <w:rPr>
          <w:rFonts w:ascii="Calibri" w:cs="Calibri" w:eastAsia="Calibri" w:hAnsi="Calibri"/>
          <w:b/>
          <w:bCs/>
          <w:color w:val="1F3864"/>
          <w:sz w:val="28"/>
          <w:szCs w:val="28"/>
        </w:rPr>
        <w:t xml:space="preserve">3. Requerimientos suplementarios o no funcionales</w:t>
      </w:r>
    </w:p>
    <w:p>
      <w:pPr>
        <w:pStyle w:val="ListParagraph"/>
        <w:numPr>
          <w:ilvl w:val="0"/>
          <w:numId w:val="2"/>
        </w:numPr>
        <w:spacing w:after="60"/>
      </w:pPr>
      <w:r>
        <w:rPr>
          <w:rFonts w:ascii="Calibri" w:cs="Calibri" w:eastAsia="Calibri" w:hAnsi="Calibri"/>
          <w:sz w:val="22"/>
          <w:szCs w:val="22"/>
        </w:rPr>
        <w:t xml:space="preserve">Los tipos de caso disponibles son: Queja, Reclamo, Denuncia y Sugerencia.</w:t>
      </w:r>
    </w:p>
    <w:p>
      <w:pPr>
        <w:pStyle w:val="ListParagraph"/>
        <w:numPr>
          <w:ilvl w:val="0"/>
          <w:numId w:val="2"/>
        </w:numPr>
        <w:spacing w:after="60"/>
      </w:pPr>
      <w:r>
        <w:rPr>
          <w:rFonts w:ascii="Calibri" w:cs="Calibri" w:eastAsia="Calibri" w:hAnsi="Calibri"/>
          <w:sz w:val="22"/>
          <w:szCs w:val="22"/>
        </w:rPr>
        <w:t xml:space="preserve">Las categorías disponibles incluyen: Servicio al cliente, Comida, Instalaciones, Limpieza, Tiempo de espera, Facturación/Cobro y Otro.</w:t>
      </w:r>
    </w:p>
    <w:p>
      <w:pPr>
        <w:pStyle w:val="ListParagraph"/>
        <w:numPr>
          <w:ilvl w:val="0"/>
          <w:numId w:val="2"/>
        </w:numPr>
        <w:spacing w:after="60"/>
      </w:pPr>
      <w:r>
        <w:rPr>
          <w:rFonts w:ascii="Calibri" w:cs="Calibri" w:eastAsia="Calibri" w:hAnsi="Calibri"/>
          <w:sz w:val="22"/>
          <w:szCs w:val="22"/>
        </w:rPr>
        <w:t xml:space="preserve">Las evidencias son opcionales; cada archivo debe ser JPG, PNG o PDF de máximo 2 MB.</w:t>
      </w:r>
    </w:p>
    <w:p>
      <w:pPr>
        <w:pStyle w:val="ListParagraph"/>
        <w:numPr>
          <w:ilvl w:val="0"/>
          <w:numId w:val="2"/>
        </w:numPr>
        <w:spacing w:after="60"/>
      </w:pPr>
      <w:r>
        <w:rPr>
          <w:rFonts w:ascii="Calibri" w:cs="Calibri" w:eastAsia="Calibri" w:hAnsi="Calibri"/>
          <w:sz w:val="22"/>
          <w:szCs w:val="22"/>
        </w:rPr>
        <w:t xml:space="preserve">El registro del caso no debe tardar más de 5 segundos.</w:t>
      </w:r>
    </w:p>
    <w:p>
      <w:pPr>
        <w:pStyle w:val="ListParagraph"/>
        <w:numPr>
          <w:ilvl w:val="0"/>
          <w:numId w:val="2"/>
        </w:numPr>
        <w:spacing w:after="60"/>
      </w:pPr>
      <w:r>
        <w:rPr>
          <w:rFonts w:ascii="Calibri" w:cs="Calibri" w:eastAsia="Calibri" w:hAnsi="Calibri"/>
          <w:sz w:val="22"/>
          <w:szCs w:val="22"/>
        </w:rPr>
        <w:t xml:space="preserve">Cada caso debe tener un identificador único e irrepetible.</w:t>
      </w:r>
    </w:p>
    <w:p>
      <w:pPr>
        <w:pStyle w:val="Heading1"/>
        <w:spacing w:after="120" w:before="240"/>
      </w:pPr>
      <w:r>
        <w:rPr>
          <w:rFonts w:ascii="Calibri" w:cs="Calibri" w:eastAsia="Calibri" w:hAnsi="Calibri"/>
          <w:b/>
          <w:bCs/>
          <w:color w:val="1F3864"/>
          <w:sz w:val="28"/>
          <w:szCs w:val="28"/>
        </w:rPr>
        <w:t xml:space="preserve">4. Firmas necesarias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rPr>
          <w:tblHeader/>
        </w:trPr>
        <w:tc>
          <w:tcPr>
            <w:tcW w:type="dxa" w:w="3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Persona</w:t>
            </w:r>
          </w:p>
        </w:tc>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Sector</w:t>
            </w:r>
          </w:p>
        </w:tc>
        <w:tc>
          <w:tcPr>
            <w:tcW w:type="dxa" w:w="31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Firma</w:t>
            </w:r>
          </w:p>
        </w:tc>
      </w:tr>
      <w:t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c>
          <w:tcPr>
            <w:tcW w:type="dxa" w:w="3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r>
      <w:t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c>
          <w:tcPr>
            <w:tcW w:type="dxa" w:w="3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r>
      <w:t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c>
          <w:tcPr>
            <w:tcW w:type="dxa" w:w="3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r>
    </w:tbl>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abstractNum w:abstractNumId="7" w15:restartNumberingAfterBreak="0">
    <w:multiLevelType w:val="hybridMultilevel"/>
    <w:lvl w:ilvl="0" w:tentative="1">
      <w:start w:val="1"/>
      <w:numFmt w:val="decimal"/>
      <w:lvlText w:val="%1."/>
      <w:lvlJc w:val="left"/>
      <w:pPr>
        <w:ind w:left="540" w:hanging="360"/>
      </w:pPr>
    </w:lvl>
  </w:abstractNum>
  <w:abstractNum w:abstractNumId="8"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sz w:val="28"/>
      <w:szCs w:val="28"/>
    </w:rPr>
  </w:style>
  <w:style w:type="paragraph" w:styleId="Heading2">
    <w:name w:val="Heading 2"/>
    <w:basedOn w:val="Normal"/>
    <w:next w:val="Normal"/>
    <w:qFormat/>
    <w:pPr>
      <w:spacing w:after="100" w:before="200"/>
      <w:outlineLvl w:val="1"/>
    </w:pPr>
    <w:rPr>
      <w:rFonts w:ascii="Calibri" w:cs="Calibri" w:eastAsia="Calibri" w:hAnsi="Calibri"/>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CU-02 Registrar Nuevo Caso (Queja, Reclamo, Denuncia o Sugerencia)</dc:title>
  <dc:creator>Heydi Herrera, Daniel Lima</dc:creator>
  <cp:lastModifiedBy>Un-named</cp:lastModifiedBy>
  <cp:revision>1</cp:revision>
  <dcterms:created xsi:type="dcterms:W3CDTF">2026-10-10T05:32:42.533Z</dcterms:created>
  <dcterms:modified xsi:type="dcterms:W3CDTF">2026-10-10T05:32:42.533Z</dcterms:modified>
</cp:coreProperties>
</file>

<file path=docProps/custom.xml><?xml version="1.0" encoding="utf-8"?>
<Properties xmlns="http://schemas.openxmlformats.org/officeDocument/2006/custom-properties" xmlns:vt="http://schemas.openxmlformats.org/officeDocument/2006/docPropsVTypes"/>
</file>