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rFonts w:ascii="Calibri" w:cs="Calibri" w:eastAsia="Calibri" w:hAnsi="Calibri"/>
          <w:b/>
          <w:bCs/>
          <w:color w:val="1F3864"/>
          <w:sz w:val="36"/>
          <w:szCs w:val="36"/>
        </w:rPr>
        <w:t xml:space="preserve">Caso de Uso</w:t>
      </w:r>
    </w:p>
    <w:p>
      <w:pPr>
        <w:spacing w:after="60"/>
        <w:jc w:val="center"/>
      </w:pPr>
      <w:r>
        <w:rPr>
          <w:rFonts w:ascii="Calibri" w:cs="Calibri" w:eastAsia="Calibri" w:hAnsi="Calibri"/>
          <w:sz w:val="26"/>
          <w:szCs w:val="26"/>
        </w:rPr>
        <w:t xml:space="preserve">Sistema de quejas de Restaurante Las Delicias</w:t>
      </w:r>
    </w:p>
    <w:p>
      <w:pPr>
        <w:spacing w:after="60"/>
        <w:jc w:val="center"/>
      </w:pPr>
      <w:r>
        <w:rPr>
          <w:rFonts w:ascii="Calibri" w:cs="Calibri" w:eastAsia="Calibri" w:hAnsi="Calibri"/>
          <w:b/>
          <w:bCs/>
          <w:sz w:val="30"/>
          <w:szCs w:val="30"/>
        </w:rPr>
        <w:t xml:space="preserve">CU-10 Notificaciones Automáticas y Bitácora de Auditoría</w:t>
      </w:r>
    </w:p>
    <w:p>
      <w:pPr>
        <w:spacing w:after="60"/>
        <w:jc w:val="center"/>
      </w:pPr>
      <w:r>
        <w:rPr>
          <w:rFonts w:ascii="Calibri" w:cs="Calibri" w:eastAsia="Calibri" w:hAnsi="Calibri"/>
          <w:sz w:val="22"/>
          <w:szCs w:val="22"/>
        </w:rPr>
        <w:t xml:space="preserve">Versión 2.1</w:t>
      </w:r>
    </w:p>
    <w:p>
      <w:pPr>
        <w:spacing w:after="200"/>
        <w:jc w:val="center"/>
      </w:pPr>
      <w:r>
        <w:rPr>
          <w:rFonts w:ascii="Calibri" w:cs="Calibri" w:eastAsia="Calibri" w:hAnsi="Calibri"/>
          <w:sz w:val="22"/>
          <w:szCs w:val="22"/>
        </w:rPr>
        <w:t xml:space="preserve">Elaborado por Heydi Herrera, Daniel Lima   10/10/2026</w:t>
      </w:r>
    </w:p>
    <w:p>
      <w:pPr>
        <w:pStyle w:val="Heading2"/>
        <w:spacing w:after="100" w:before="200"/>
      </w:pPr>
      <w:r>
        <w:rPr>
          <w:rFonts w:ascii="Calibri" w:cs="Calibri" w:eastAsia="Calibri" w:hAnsi="Calibri"/>
          <w:b/>
          <w:bCs/>
          <w:color w:val="2F5496"/>
          <w:sz w:val="24"/>
          <w:szCs w:val="24"/>
        </w:rPr>
        <w:t xml:space="preserve">Historial de revisiones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1400"/>
        <w:gridCol w:w="4760"/>
        <w:gridCol w:w="900"/>
      </w:tblGrid>
      <w:tr>
        <w:trPr>
          <w:tblHeader/>
        </w:trPr>
        <w:tc>
          <w:tcPr>
            <w:tcW w:type="dxa" w:w="2300"/>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r>
              <w:rPr>
                <w:rFonts w:ascii="Calibri" w:cs="Calibri" w:eastAsia="Calibri" w:hAnsi="Calibri"/>
                <w:b/>
                <w:bCs/>
                <w:sz w:val="20"/>
                <w:szCs w:val="20"/>
              </w:rPr>
              <w:t xml:space="preserve">Nombre</w:t>
            </w:r>
          </w:p>
        </w:tc>
        <w:tc>
          <w:tcPr>
            <w:tcW w:type="dxa" w:w="1400"/>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r>
              <w:rPr>
                <w:rFonts w:ascii="Calibri" w:cs="Calibri" w:eastAsia="Calibri" w:hAnsi="Calibri"/>
                <w:b/>
                <w:bCs/>
                <w:sz w:val="20"/>
                <w:szCs w:val="20"/>
              </w:rPr>
              <w:t xml:space="preserve">Fecha</w:t>
            </w:r>
          </w:p>
        </w:tc>
        <w:tc>
          <w:tcPr>
            <w:tcW w:type="dxa" w:w="4760"/>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r>
              <w:rPr>
                <w:rFonts w:ascii="Calibri" w:cs="Calibri" w:eastAsia="Calibri" w:hAnsi="Calibri"/>
                <w:b/>
                <w:bCs/>
                <w:sz w:val="20"/>
                <w:szCs w:val="20"/>
              </w:rPr>
              <w:t xml:space="preserve">Descripción del cambio</w:t>
            </w:r>
          </w:p>
        </w:tc>
        <w:tc>
          <w:tcPr>
            <w:tcW w:type="dxa" w:w="900"/>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r>
              <w:rPr>
                <w:rFonts w:ascii="Calibri" w:cs="Calibri" w:eastAsia="Calibri" w:hAnsi="Calibri"/>
                <w:b/>
                <w:bCs/>
                <w:sz w:val="20"/>
                <w:szCs w:val="20"/>
              </w:rPr>
              <w:t xml:space="preserve">Versión</w:t>
            </w:r>
          </w:p>
        </w:tc>
      </w:tr>
      <w:tr>
        <w:tc>
          <w:tcPr>
            <w:tcW w:type="dxa" w:w="23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sz w:val="20"/>
                <w:szCs w:val="20"/>
              </w:rPr>
              <w:t xml:space="preserve">Heydi Herrera, Daniel Lima</w:t>
            </w:r>
          </w:p>
        </w:tc>
        <w:tc>
          <w:tcPr>
            <w:tcW w:type="dxa" w:w="14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sz w:val="20"/>
                <w:szCs w:val="20"/>
              </w:rPr>
              <w:t xml:space="preserve">14/08/2026</w:t>
            </w:r>
          </w:p>
        </w:tc>
        <w:tc>
          <w:tcPr>
            <w:tcW w:type="dxa" w:w="476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sz w:val="20"/>
                <w:szCs w:val="20"/>
              </w:rPr>
              <w:t xml:space="preserve">Versión original (casos de uso independientes: CU-14 Enviar Notificaciones Automáticas y CU-15 Registrar Bitácora de Auditoría)</w:t>
            </w:r>
          </w:p>
        </w:tc>
        <w:tc>
          <w:tcPr>
            <w:tcW w:type="dxa" w:w="9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sz w:val="20"/>
                <w:szCs w:val="20"/>
              </w:rPr>
              <w:t xml:space="preserve">1.0</w:t>
            </w:r>
          </w:p>
        </w:tc>
      </w:tr>
      <w:tr>
        <w:tc>
          <w:tcPr>
            <w:tcW w:type="dxa" w:w="23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sz w:val="20"/>
                <w:szCs w:val="20"/>
              </w:rPr>
              <w:t xml:space="preserve">Heydi Herrera, Daniel Lima</w:t>
            </w:r>
          </w:p>
        </w:tc>
        <w:tc>
          <w:tcPr>
            <w:tcW w:type="dxa" w:w="14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sz w:val="20"/>
                <w:szCs w:val="20"/>
              </w:rPr>
              <w:t xml:space="preserve">05/10/2026</w:t>
            </w:r>
          </w:p>
        </w:tc>
        <w:tc>
          <w:tcPr>
            <w:tcW w:type="dxa" w:w="476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sz w:val="20"/>
                <w:szCs w:val="20"/>
              </w:rPr>
              <w:t xml:space="preserve">Consolidación de los casos de uso de CU-00 a CU-15 en CU-00 a CU-10; mensajes y flujos alineados con el sistema</w:t>
            </w:r>
          </w:p>
        </w:tc>
        <w:tc>
          <w:tcPr>
            <w:tcW w:type="dxa" w:w="9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sz w:val="20"/>
                <w:szCs w:val="20"/>
              </w:rPr>
              <w:t xml:space="preserve">2.0</w:t>
            </w:r>
          </w:p>
        </w:tc>
      </w:tr>
      <w:tr>
        <w:tc>
          <w:tcPr>
            <w:tcW w:type="dxa" w:w="23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sz w:val="20"/>
                <w:szCs w:val="20"/>
              </w:rPr>
              <w:t xml:space="preserve">Heydi Herrera, Daniel Lima</w:t>
            </w:r>
          </w:p>
        </w:tc>
        <w:tc>
          <w:tcPr>
            <w:tcW w:type="dxa" w:w="14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sz w:val="20"/>
                <w:szCs w:val="20"/>
              </w:rPr>
              <w:t xml:space="preserve">10/10/2026</w:t>
            </w:r>
          </w:p>
        </w:tc>
        <w:tc>
          <w:tcPr>
            <w:tcW w:type="dxa" w:w="476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sz w:val="20"/>
                <w:szCs w:val="20"/>
              </w:rPr>
              <w:t xml:space="preserve">Redacción más fluida de los flujos, con los nombres reales de botones, apartados y mensajes de la interfaz; se agregan los flujos de reasignación y aprobación de respuestas</w:t>
            </w:r>
          </w:p>
        </w:tc>
        <w:tc>
          <w:tcPr>
            <w:tcW w:type="dxa" w:w="9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sz w:val="20"/>
                <w:szCs w:val="20"/>
              </w:rPr>
              <w:t xml:space="preserve">2.1</w:t>
            </w:r>
          </w:p>
        </w:tc>
      </w:tr>
    </w:tbl>
    <w:p>
      <w:pPr>
        <w:spacing w:after="100"/>
      </w:pPr>
      <w:r>
        <w:rPr>
          <w:rFonts w:ascii="Calibri" w:cs="Calibri" w:eastAsia="Calibri" w:hAnsi="Calibri"/>
          <w:sz w:val="22"/>
          <w:szCs w:val="22"/>
        </w:rPr>
        <w:t xml:space="preserve"/>
      </w:r>
    </w:p>
    <w:p>
      <w:pPr>
        <w:pStyle w:val="Heading1"/>
        <w:spacing w:after="120" w:before="240"/>
      </w:pPr>
      <w:r>
        <w:rPr>
          <w:rFonts w:ascii="Calibri" w:cs="Calibri" w:eastAsia="Calibri" w:hAnsi="Calibri"/>
          <w:b/>
          <w:bCs/>
          <w:color w:val="1F3864"/>
          <w:sz w:val="28"/>
          <w:szCs w:val="28"/>
        </w:rPr>
        <w:t xml:space="preserve">1. Introducción</w:t>
      </w:r>
    </w:p>
    <w:p>
      <w:pPr>
        <w:spacing w:after="100"/>
      </w:pPr>
      <w:r>
        <w:rPr>
          <w:rFonts w:ascii="Calibri" w:cs="Calibri" w:eastAsia="Calibri" w:hAnsi="Calibri"/>
          <w:sz w:val="22"/>
          <w:szCs w:val="22"/>
        </w:rPr>
        <w:t xml:space="preserve">Este caso de uso agrupa dos procesos automáticos que acompañan a todos los demás. El primero avisa por correo electrónico a los clientes y al personal cuando ocurre un evento importante de un caso, para que no tengan que revisar el sistema constantemente. El segundo deja constancia, en una bitácora que no se puede alterar, de las acciones relevantes realizadas en el sistema: qué se hizo, quién lo hizo y cuándo.</w:t>
      </w:r>
    </w:p>
    <w:p>
      <w:pPr>
        <w:pStyle w:val="Heading2"/>
        <w:spacing w:after="100" w:before="200"/>
      </w:pPr>
      <w:r>
        <w:rPr>
          <w:rFonts w:ascii="Calibri" w:cs="Calibri" w:eastAsia="Calibri" w:hAnsi="Calibri"/>
          <w:b/>
          <w:bCs/>
          <w:color w:val="2F5496"/>
          <w:sz w:val="24"/>
          <w:szCs w:val="24"/>
        </w:rPr>
        <w:t xml:space="preserve">Objetivo</w:t>
      </w:r>
    </w:p>
    <w:p>
      <w:pPr>
        <w:spacing w:after="100"/>
      </w:pPr>
      <w:r>
        <w:rPr>
          <w:rFonts w:ascii="Calibri" w:cs="Calibri" w:eastAsia="Calibri" w:hAnsi="Calibri"/>
          <w:sz w:val="22"/>
          <w:szCs w:val="22"/>
        </w:rPr>
        <w:t xml:space="preserve">Mantener informados a los involucrados en cada caso mediante notificaciones automáticas, y garantizar la trazabilidad de las acciones del sistema, permitiendo su consulta por parte del personal autorizado.</w:t>
      </w:r>
    </w:p>
    <w:p>
      <w:pPr>
        <w:pStyle w:val="Heading1"/>
        <w:spacing w:after="120" w:before="240"/>
      </w:pPr>
      <w:r>
        <w:rPr>
          <w:rFonts w:ascii="Calibri" w:cs="Calibri" w:eastAsia="Calibri" w:hAnsi="Calibri"/>
          <w:b/>
          <w:bCs/>
          <w:color w:val="1F3864"/>
          <w:sz w:val="28"/>
          <w:szCs w:val="28"/>
        </w:rPr>
        <w:t xml:space="preserve">2. Definición del caso de uso</w:t>
      </w:r>
    </w:p>
    <w:p>
      <w:pPr>
        <w:pStyle w:val="Heading2"/>
        <w:spacing w:after="100" w:before="200"/>
      </w:pPr>
      <w:r>
        <w:rPr>
          <w:rFonts w:ascii="Calibri" w:cs="Calibri" w:eastAsia="Calibri" w:hAnsi="Calibri"/>
          <w:b/>
          <w:bCs/>
          <w:color w:val="2F5496"/>
          <w:sz w:val="24"/>
          <w:szCs w:val="24"/>
        </w:rPr>
        <w:t xml:space="preserve">2.1 Actores</w:t>
      </w:r>
    </w:p>
    <w:p>
      <w:pPr>
        <w:pStyle w:val="ListParagraph"/>
        <w:numPr>
          <w:ilvl w:val="0"/>
          <w:numId w:val="2"/>
        </w:numPr>
        <w:spacing w:after="60"/>
      </w:pPr>
      <w:r>
        <w:rPr>
          <w:rFonts w:ascii="Calibri" w:cs="Calibri" w:eastAsia="Calibri" w:hAnsi="Calibri"/>
          <w:sz w:val="22"/>
          <w:szCs w:val="22"/>
        </w:rPr>
        <w:t xml:space="preserve">Usuario (cliente, receptor de notificaciones).</w:t>
      </w:r>
    </w:p>
    <w:p>
      <w:pPr>
        <w:pStyle w:val="ListParagraph"/>
        <w:numPr>
          <w:ilvl w:val="0"/>
          <w:numId w:val="2"/>
        </w:numPr>
        <w:spacing w:after="60"/>
      </w:pPr>
      <w:r>
        <w:rPr>
          <w:rFonts w:ascii="Calibri" w:cs="Calibri" w:eastAsia="Calibri" w:hAnsi="Calibri"/>
          <w:sz w:val="22"/>
          <w:szCs w:val="22"/>
        </w:rPr>
        <w:t xml:space="preserve">Personal administrativo (receptor de notificaciones y consulta).</w:t>
      </w:r>
    </w:p>
    <w:p>
      <w:pPr>
        <w:pStyle w:val="ListParagraph"/>
        <w:numPr>
          <w:ilvl w:val="0"/>
          <w:numId w:val="2"/>
        </w:numPr>
        <w:spacing w:after="60"/>
      </w:pPr>
      <w:r>
        <w:rPr>
          <w:rFonts w:ascii="Calibri" w:cs="Calibri" w:eastAsia="Calibri" w:hAnsi="Calibri"/>
          <w:sz w:val="22"/>
          <w:szCs w:val="22"/>
        </w:rPr>
        <w:t xml:space="preserve">Administrador General (consulta de la bitácora).</w:t>
      </w:r>
    </w:p>
    <w:p>
      <w:pPr>
        <w:pStyle w:val="ListParagraph"/>
        <w:numPr>
          <w:ilvl w:val="0"/>
          <w:numId w:val="2"/>
        </w:numPr>
        <w:spacing w:after="60"/>
      </w:pPr>
      <w:r>
        <w:rPr>
          <w:rFonts w:ascii="Calibri" w:cs="Calibri" w:eastAsia="Calibri" w:hAnsi="Calibri"/>
          <w:sz w:val="22"/>
          <w:szCs w:val="22"/>
        </w:rPr>
        <w:t xml:space="preserve">Sistema.</w:t>
      </w:r>
    </w:p>
    <w:p>
      <w:pPr>
        <w:pStyle w:val="ListParagraph"/>
        <w:numPr>
          <w:ilvl w:val="0"/>
          <w:numId w:val="2"/>
        </w:numPr>
        <w:spacing w:after="60"/>
      </w:pPr>
      <w:r>
        <w:rPr>
          <w:rFonts w:ascii="Calibri" w:cs="Calibri" w:eastAsia="Calibri" w:hAnsi="Calibri"/>
          <w:sz w:val="22"/>
          <w:szCs w:val="22"/>
        </w:rPr>
        <w:t xml:space="preserve">Servidor de correo electrónico (sistema externo).</w:t>
      </w:r>
    </w:p>
    <w:p>
      <w:pPr>
        <w:pStyle w:val="Heading2"/>
        <w:spacing w:after="100" w:before="200"/>
      </w:pPr>
      <w:r>
        <w:rPr>
          <w:rFonts w:ascii="Calibri" w:cs="Calibri" w:eastAsia="Calibri" w:hAnsi="Calibri"/>
          <w:b/>
          <w:bCs/>
          <w:color w:val="2F5496"/>
          <w:sz w:val="24"/>
          <w:szCs w:val="24"/>
        </w:rPr>
        <w:t xml:space="preserve">2.2 Precondiciones</w:t>
      </w:r>
    </w:p>
    <w:p>
      <w:pPr>
        <w:pStyle w:val="ListParagraph"/>
        <w:numPr>
          <w:ilvl w:val="0"/>
          <w:numId w:val="2"/>
        </w:numPr>
        <w:spacing w:after="60"/>
      </w:pPr>
      <w:r>
        <w:rPr>
          <w:rFonts w:ascii="Calibri" w:cs="Calibri" w:eastAsia="Calibri" w:hAnsi="Calibri"/>
          <w:sz w:val="22"/>
          <w:szCs w:val="22"/>
        </w:rPr>
        <w:t xml:space="preserve">Flujo 1: ocurre un evento definido en las reglas de notificación y existe una dirección de correo para el destinatario.</w:t>
      </w:r>
    </w:p>
    <w:p>
      <w:pPr>
        <w:pStyle w:val="ListParagraph"/>
        <w:numPr>
          <w:ilvl w:val="0"/>
          <w:numId w:val="2"/>
        </w:numPr>
        <w:spacing w:after="60"/>
      </w:pPr>
      <w:r>
        <w:rPr>
          <w:rFonts w:ascii="Calibri" w:cs="Calibri" w:eastAsia="Calibri" w:hAnsi="Calibri"/>
          <w:sz w:val="22"/>
          <w:szCs w:val="22"/>
        </w:rPr>
        <w:t xml:space="preserve">Flujo 2: se realiza una acción definida como auditable.</w:t>
      </w:r>
    </w:p>
    <w:p>
      <w:pPr>
        <w:pStyle w:val="ListParagraph"/>
        <w:numPr>
          <w:ilvl w:val="0"/>
          <w:numId w:val="2"/>
        </w:numPr>
        <w:spacing w:after="60"/>
      </w:pPr>
      <w:r>
        <w:rPr>
          <w:rFonts w:ascii="Calibri" w:cs="Calibri" w:eastAsia="Calibri" w:hAnsi="Calibri"/>
          <w:sz w:val="22"/>
          <w:szCs w:val="22"/>
        </w:rPr>
        <w:t xml:space="preserve">Flujo 3: el usuario inició sesión como Administrador General (bitácora) o como Administrador General o Gerente (notificaciones).</w:t>
      </w:r>
    </w:p>
    <w:p>
      <w:pPr>
        <w:pStyle w:val="Heading2"/>
        <w:spacing w:after="100" w:before="200"/>
      </w:pPr>
      <w:r>
        <w:rPr>
          <w:rFonts w:ascii="Calibri" w:cs="Calibri" w:eastAsia="Calibri" w:hAnsi="Calibri"/>
          <w:b/>
          <w:bCs/>
          <w:color w:val="2F5496"/>
          <w:sz w:val="24"/>
          <w:szCs w:val="24"/>
        </w:rPr>
        <w:t xml:space="preserve">2.3 Flujo normal básico</w:t>
      </w:r>
    </w:p>
    <w:p>
      <w:pPr>
        <w:keepNext/>
        <w:spacing w:after="60" w:before="140"/>
      </w:pPr>
      <w:r>
        <w:rPr>
          <w:rFonts w:ascii="Calibri" w:cs="Calibri" w:eastAsia="Calibri" w:hAnsi="Calibri"/>
          <w:b/>
          <w:bCs/>
          <w:sz w:val="22"/>
          <w:szCs w:val="22"/>
        </w:rPr>
        <w:t xml:space="preserve">Flujo normal básico 1 – Enviar notificaciones automáticas</w:t>
      </w:r>
    </w:p>
    <w:p>
      <w:pPr>
        <w:pStyle w:val="ListParagraph"/>
        <w:numPr>
          <w:ilvl w:val="0"/>
          <w:numId w:val="3"/>
        </w:numPr>
        <w:spacing w:after="80"/>
      </w:pPr>
      <w:r>
        <w:rPr>
          <w:rFonts w:ascii="Calibri" w:cs="Calibri" w:eastAsia="Calibri" w:hAnsi="Calibri"/>
          <w:sz w:val="22"/>
          <w:szCs w:val="22"/>
        </w:rPr>
        <w:t xml:space="preserve">Ocurre un evento relevante de un caso: registro (CU-02), cancelación (CU-04), solicitud de reapertura (CU-06), cambio de estado, asignación o reasignación, o respuesta oficial (CU-07).</w:t>
      </w:r>
    </w:p>
    <w:p>
      <w:pPr>
        <w:pStyle w:val="ListParagraph"/>
        <w:numPr>
          <w:ilvl w:val="0"/>
          <w:numId w:val="3"/>
        </w:numPr>
        <w:spacing w:after="80"/>
      </w:pPr>
      <w:r>
        <w:rPr>
          <w:rFonts w:ascii="Calibri" w:cs="Calibri" w:eastAsia="Calibri" w:hAnsi="Calibri"/>
          <w:sz w:val="22"/>
          <w:szCs w:val="22"/>
        </w:rPr>
        <w:t xml:space="preserve">El sistema identifica el caso y a los destinatarios que corresponden (cliente o personal interno).</w:t>
      </w:r>
    </w:p>
    <w:p>
      <w:pPr>
        <w:pStyle w:val="ListParagraph"/>
        <w:numPr>
          <w:ilvl w:val="0"/>
          <w:numId w:val="3"/>
        </w:numPr>
        <w:spacing w:after="80"/>
      </w:pPr>
      <w:r>
        <w:rPr>
          <w:rFonts w:ascii="Calibri" w:cs="Calibri" w:eastAsia="Calibri" w:hAnsi="Calibri"/>
          <w:sz w:val="22"/>
          <w:szCs w:val="22"/>
        </w:rPr>
        <w:t xml:space="preserve">El sistema elige la plantilla de mensaje según el tipo de evento.</w:t>
      </w:r>
    </w:p>
    <w:p>
      <w:pPr>
        <w:pStyle w:val="ListParagraph"/>
        <w:numPr>
          <w:ilvl w:val="0"/>
          <w:numId w:val="3"/>
        </w:numPr>
        <w:spacing w:after="80"/>
      </w:pPr>
      <w:r>
        <w:rPr>
          <w:rFonts w:ascii="Calibri" w:cs="Calibri" w:eastAsia="Calibri" w:hAnsi="Calibri"/>
          <w:sz w:val="22"/>
          <w:szCs w:val="22"/>
        </w:rPr>
        <w:t xml:space="preserve">El sistema arma el mensaje con los siguientes datos (FA01, FA02):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000"/>
        <w:gridCol w:w="1500"/>
        <w:gridCol w:w="2260"/>
      </w:tblGrid>
      <w:tr>
        <w:trPr>
          <w:tblHeader/>
        </w:trPr>
        <w:tc>
          <w:tcPr>
            <w:tcW w:type="dxa" w:w="2600"/>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r>
              <w:rPr>
                <w:rFonts w:ascii="Calibri" w:cs="Calibri" w:eastAsia="Calibri" w:hAnsi="Calibri"/>
                <w:b/>
                <w:bCs/>
                <w:sz w:val="20"/>
                <w:szCs w:val="20"/>
              </w:rPr>
              <w:t xml:space="preserve">Nombre</w:t>
            </w:r>
          </w:p>
        </w:tc>
        <w:tc>
          <w:tcPr>
            <w:tcW w:type="dxa" w:w="3000"/>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r>
              <w:rPr>
                <w:rFonts w:ascii="Calibri" w:cs="Calibri" w:eastAsia="Calibri" w:hAnsi="Calibri"/>
                <w:b/>
                <w:bCs/>
                <w:sz w:val="20"/>
                <w:szCs w:val="20"/>
              </w:rPr>
              <w:t xml:space="preserve">Tipo</w:t>
            </w:r>
          </w:p>
        </w:tc>
        <w:tc>
          <w:tcPr>
            <w:tcW w:type="dxa" w:w="1500"/>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r>
              <w:rPr>
                <w:rFonts w:ascii="Calibri" w:cs="Calibri" w:eastAsia="Calibri" w:hAnsi="Calibri"/>
                <w:b/>
                <w:bCs/>
                <w:sz w:val="20"/>
                <w:szCs w:val="20"/>
              </w:rPr>
              <w:t xml:space="preserve">Obligatoriedad</w:t>
            </w:r>
          </w:p>
        </w:tc>
        <w:tc>
          <w:tcPr>
            <w:tcW w:type="dxa" w:w="2260"/>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r>
              <w:rPr>
                <w:rFonts w:ascii="Calibri" w:cs="Calibri" w:eastAsia="Calibri" w:hAnsi="Calibri"/>
                <w:b/>
                <w:bCs/>
                <w:sz w:val="20"/>
                <w:szCs w:val="20"/>
              </w:rPr>
              <w:t xml:space="preserve">Tamaño</w:t>
            </w:r>
          </w:p>
        </w:tc>
      </w:tr>
      <w:tr>
        <w:tc>
          <w:tcPr>
            <w:tcW w:type="dxa" w:w="26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sz w:val="20"/>
                <w:szCs w:val="20"/>
              </w:rPr>
              <w:t xml:space="preserve">dirección de correo de destino</w:t>
            </w:r>
          </w:p>
        </w:tc>
        <w:tc>
          <w:tcPr>
            <w:tcW w:type="dxa" w:w="30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sz w:val="20"/>
                <w:szCs w:val="20"/>
              </w:rPr>
              <w:t xml:space="preserve">alfanumérico / formato email</w:t>
            </w:r>
          </w:p>
        </w:tc>
        <w:tc>
          <w:tcPr>
            <w:tcW w:type="dxa" w:w="15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sz w:val="20"/>
                <w:szCs w:val="20"/>
              </w:rPr>
              <w:t xml:space="preserve">Sí</w:t>
            </w:r>
          </w:p>
        </w:tc>
        <w:tc>
          <w:tcPr>
            <w:tcW w:type="dxa" w:w="226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sz w:val="20"/>
                <w:szCs w:val="20"/>
              </w:rPr>
              <w:t xml:space="preserve">100 caracteres</w:t>
            </w:r>
          </w:p>
        </w:tc>
      </w:tr>
      <w:tr>
        <w:tc>
          <w:tcPr>
            <w:tcW w:type="dxa" w:w="26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sz w:val="20"/>
                <w:szCs w:val="20"/>
              </w:rPr>
              <w:t xml:space="preserve">asunto del correo</w:t>
            </w:r>
          </w:p>
        </w:tc>
        <w:tc>
          <w:tcPr>
            <w:tcW w:type="dxa" w:w="30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sz w:val="20"/>
                <w:szCs w:val="20"/>
              </w:rPr>
              <w:t xml:space="preserve">texto alfanumérico</w:t>
            </w:r>
          </w:p>
        </w:tc>
        <w:tc>
          <w:tcPr>
            <w:tcW w:type="dxa" w:w="15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sz w:val="20"/>
                <w:szCs w:val="20"/>
              </w:rPr>
              <w:t xml:space="preserve">Sí</w:t>
            </w:r>
          </w:p>
        </w:tc>
        <w:tc>
          <w:tcPr>
            <w:tcW w:type="dxa" w:w="226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sz w:val="20"/>
                <w:szCs w:val="20"/>
              </w:rPr>
              <w:t xml:space="preserve">100 caracteres</w:t>
            </w:r>
          </w:p>
        </w:tc>
      </w:tr>
      <w:tr>
        <w:tc>
          <w:tcPr>
            <w:tcW w:type="dxa" w:w="26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sz w:val="20"/>
                <w:szCs w:val="20"/>
              </w:rPr>
              <w:t xml:space="preserve">código único del caso</w:t>
            </w:r>
          </w:p>
        </w:tc>
        <w:tc>
          <w:tcPr>
            <w:tcW w:type="dxa" w:w="30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sz w:val="20"/>
                <w:szCs w:val="20"/>
              </w:rPr>
              <w:t xml:space="preserve">alfanumérico</w:t>
            </w:r>
          </w:p>
        </w:tc>
        <w:tc>
          <w:tcPr>
            <w:tcW w:type="dxa" w:w="15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sz w:val="20"/>
                <w:szCs w:val="20"/>
              </w:rPr>
              <w:t xml:space="preserve">Sí</w:t>
            </w:r>
          </w:p>
        </w:tc>
        <w:tc>
          <w:tcPr>
            <w:tcW w:type="dxa" w:w="226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sz w:val="20"/>
                <w:szCs w:val="20"/>
              </w:rPr>
              <w:t xml:space="preserve">20 caracteres</w:t>
            </w:r>
          </w:p>
        </w:tc>
      </w:tr>
      <w:tr>
        <w:tc>
          <w:tcPr>
            <w:tcW w:type="dxa" w:w="26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sz w:val="20"/>
                <w:szCs w:val="20"/>
              </w:rPr>
              <w:t xml:space="preserve">cuerpo del mensaje</w:t>
            </w:r>
          </w:p>
        </w:tc>
        <w:tc>
          <w:tcPr>
            <w:tcW w:type="dxa" w:w="30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sz w:val="20"/>
                <w:szCs w:val="20"/>
              </w:rPr>
              <w:t xml:space="preserve">texto alfanumérico</w:t>
            </w:r>
          </w:p>
        </w:tc>
        <w:tc>
          <w:tcPr>
            <w:tcW w:type="dxa" w:w="15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sz w:val="20"/>
                <w:szCs w:val="20"/>
              </w:rPr>
              <w:t xml:space="preserve">Sí</w:t>
            </w:r>
          </w:p>
        </w:tc>
        <w:tc>
          <w:tcPr>
            <w:tcW w:type="dxa" w:w="226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sz w:val="20"/>
                <w:szCs w:val="20"/>
              </w:rPr>
              <w:t xml:space="preserve">500 caracteres</w:t>
            </w:r>
          </w:p>
        </w:tc>
      </w:tr>
      <w:tr>
        <w:tc>
          <w:tcPr>
            <w:tcW w:type="dxa" w:w="26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sz w:val="20"/>
                <w:szCs w:val="20"/>
              </w:rPr>
              <w:t xml:space="preserve">fecha y hora del evento</w:t>
            </w:r>
          </w:p>
        </w:tc>
        <w:tc>
          <w:tcPr>
            <w:tcW w:type="dxa" w:w="30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sz w:val="20"/>
                <w:szCs w:val="20"/>
              </w:rPr>
              <w:t xml:space="preserve">formato DD/MM/AAAA HH:MM:SS</w:t>
            </w:r>
          </w:p>
        </w:tc>
        <w:tc>
          <w:tcPr>
            <w:tcW w:type="dxa" w:w="15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sz w:val="20"/>
                <w:szCs w:val="20"/>
              </w:rPr>
              <w:t xml:space="preserve">Sí</w:t>
            </w:r>
          </w:p>
        </w:tc>
        <w:tc>
          <w:tcPr>
            <w:tcW w:type="dxa" w:w="226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sz w:val="20"/>
                <w:szCs w:val="20"/>
              </w:rPr>
              <w:t xml:space="preserve">19 caracteres</w:t>
            </w:r>
          </w:p>
        </w:tc>
      </w:tr>
    </w:tbl>
    <w:p>
      <w:pPr>
        <w:spacing w:after="100"/>
      </w:pPr>
      <w:r>
        <w:rPr>
          <w:rFonts w:ascii="Calibri" w:cs="Calibri" w:eastAsia="Calibri" w:hAnsi="Calibri"/>
          <w:sz w:val="22"/>
          <w:szCs w:val="22"/>
        </w:rPr>
        <w:t xml:space="preserve"/>
      </w:r>
    </w:p>
    <w:p>
      <w:pPr>
        <w:pStyle w:val="ListParagraph"/>
        <w:numPr>
          <w:ilvl w:val="0"/>
          <w:numId w:val="3"/>
        </w:numPr>
        <w:spacing w:after="80"/>
      </w:pPr>
      <w:r>
        <w:rPr>
          <w:rFonts w:ascii="Calibri" w:cs="Calibri" w:eastAsia="Calibri" w:hAnsi="Calibri"/>
          <w:sz w:val="22"/>
          <w:szCs w:val="22"/>
        </w:rPr>
        <w:t xml:space="preserve">El sistema envía el correo. El cuerpo termina siempre con el código del caso y la fecha y hora, con la forma “| Caso: &lt;código&gt; | Fecha y hora: DD/MM/AAAA HH:MM:SS”.</w:t>
      </w:r>
    </w:p>
    <w:p>
      <w:pPr>
        <w:pStyle w:val="ListParagraph"/>
        <w:numPr>
          <w:ilvl w:val="0"/>
          <w:numId w:val="3"/>
        </w:numPr>
        <w:spacing w:after="80"/>
      </w:pPr>
      <w:r>
        <w:rPr>
          <w:rFonts w:ascii="Calibri" w:cs="Calibri" w:eastAsia="Calibri" w:hAnsi="Calibri"/>
          <w:sz w:val="22"/>
          <w:szCs w:val="22"/>
        </w:rPr>
        <w:t xml:space="preserve">El sistema guarda el resultado del envío: Enviado, Fallido, Omitido, Sin contacto válido o Revisión administrativa.</w:t>
      </w:r>
    </w:p>
    <w:p>
      <w:pPr>
        <w:pStyle w:val="ListParagraph"/>
        <w:numPr>
          <w:ilvl w:val="0"/>
          <w:numId w:val="3"/>
        </w:numPr>
        <w:spacing w:after="80"/>
      </w:pPr>
      <w:r>
        <w:rPr>
          <w:rFonts w:ascii="Calibri" w:cs="Calibri" w:eastAsia="Calibri" w:hAnsi="Calibri"/>
          <w:sz w:val="22"/>
          <w:szCs w:val="22"/>
        </w:rPr>
        <w:t xml:space="preserve">El destinatario recibe el aviso. Si el personal tiene abierta la “Bandeja de casos”, aparece un aviso breve “Notificación automática enviada” con el asunto y el destino.</w:t>
      </w:r>
    </w:p>
    <w:p>
      <w:pPr>
        <w:pStyle w:val="ListParagraph"/>
        <w:numPr>
          <w:ilvl w:val="0"/>
          <w:numId w:val="3"/>
        </w:numPr>
        <w:spacing w:after="80"/>
      </w:pPr>
      <w:r>
        <w:rPr>
          <w:rFonts w:ascii="Calibri" w:cs="Calibri" w:eastAsia="Calibri" w:hAnsi="Calibri"/>
          <w:sz w:val="22"/>
          <w:szCs w:val="22"/>
        </w:rPr>
        <w:t xml:space="preserve">Fin del flujo normal básico 1.</w:t>
      </w:r>
    </w:p>
    <w:p>
      <w:pPr>
        <w:keepNext/>
        <w:spacing w:after="60" w:before="140"/>
      </w:pPr>
      <w:r>
        <w:rPr>
          <w:rFonts w:ascii="Calibri" w:cs="Calibri" w:eastAsia="Calibri" w:hAnsi="Calibri"/>
          <w:b/>
          <w:bCs/>
          <w:sz w:val="22"/>
          <w:szCs w:val="22"/>
        </w:rPr>
        <w:t xml:space="preserve">Flujo normal básico 2 – Registrar la bitácora de auditoría</w:t>
      </w:r>
    </w:p>
    <w:p>
      <w:pPr>
        <w:pStyle w:val="ListParagraph"/>
        <w:numPr>
          <w:ilvl w:val="0"/>
          <w:numId w:val="4"/>
        </w:numPr>
        <w:spacing w:after="80"/>
      </w:pPr>
      <w:r>
        <w:rPr>
          <w:rFonts w:ascii="Calibri" w:cs="Calibri" w:eastAsia="Calibri" w:hAnsi="Calibri"/>
          <w:sz w:val="22"/>
          <w:szCs w:val="22"/>
        </w:rPr>
        <w:t xml:space="preserve">Un usuario o un proceso del sistema realiza una acción auditable (por ejemplo, registrar o cancelar un caso, cambiar su estado, responder, reasignar, modificar el perfil, restablecer una contraseña o administrar usuarios y catálogos).</w:t>
      </w:r>
    </w:p>
    <w:p>
      <w:pPr>
        <w:pStyle w:val="ListParagraph"/>
        <w:numPr>
          <w:ilvl w:val="0"/>
          <w:numId w:val="4"/>
        </w:numPr>
        <w:spacing w:after="80"/>
      </w:pPr>
      <w:r>
        <w:rPr>
          <w:rFonts w:ascii="Calibri" w:cs="Calibri" w:eastAsia="Calibri" w:hAnsi="Calibri"/>
          <w:sz w:val="22"/>
          <w:szCs w:val="22"/>
        </w:rPr>
        <w:t xml:space="preserve">El sistema identifica el tipo de acción.</w:t>
      </w:r>
    </w:p>
    <w:p>
      <w:pPr>
        <w:pStyle w:val="ListParagraph"/>
        <w:numPr>
          <w:ilvl w:val="0"/>
          <w:numId w:val="4"/>
        </w:numPr>
        <w:spacing w:after="80"/>
      </w:pPr>
      <w:r>
        <w:rPr>
          <w:rFonts w:ascii="Calibri" w:cs="Calibri" w:eastAsia="Calibri" w:hAnsi="Calibri"/>
          <w:sz w:val="22"/>
          <w:szCs w:val="22"/>
        </w:rPr>
        <w:t xml:space="preserve">El sistema captura la siguiente información del evento (FA03, FA04):</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000"/>
        <w:gridCol w:w="1500"/>
        <w:gridCol w:w="2260"/>
      </w:tblGrid>
      <w:tr>
        <w:trPr>
          <w:tblHeader/>
        </w:trPr>
        <w:tc>
          <w:tcPr>
            <w:tcW w:type="dxa" w:w="2600"/>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r>
              <w:rPr>
                <w:rFonts w:ascii="Calibri" w:cs="Calibri" w:eastAsia="Calibri" w:hAnsi="Calibri"/>
                <w:b/>
                <w:bCs/>
                <w:sz w:val="20"/>
                <w:szCs w:val="20"/>
              </w:rPr>
              <w:t xml:space="preserve">Nombre</w:t>
            </w:r>
          </w:p>
        </w:tc>
        <w:tc>
          <w:tcPr>
            <w:tcW w:type="dxa" w:w="3000"/>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r>
              <w:rPr>
                <w:rFonts w:ascii="Calibri" w:cs="Calibri" w:eastAsia="Calibri" w:hAnsi="Calibri"/>
                <w:b/>
                <w:bCs/>
                <w:sz w:val="20"/>
                <w:szCs w:val="20"/>
              </w:rPr>
              <w:t xml:space="preserve">Tipo</w:t>
            </w:r>
          </w:p>
        </w:tc>
        <w:tc>
          <w:tcPr>
            <w:tcW w:type="dxa" w:w="1500"/>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r>
              <w:rPr>
                <w:rFonts w:ascii="Calibri" w:cs="Calibri" w:eastAsia="Calibri" w:hAnsi="Calibri"/>
                <w:b/>
                <w:bCs/>
                <w:sz w:val="20"/>
                <w:szCs w:val="20"/>
              </w:rPr>
              <w:t xml:space="preserve">Obligatoriedad</w:t>
            </w:r>
          </w:p>
        </w:tc>
        <w:tc>
          <w:tcPr>
            <w:tcW w:type="dxa" w:w="2260"/>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r>
              <w:rPr>
                <w:rFonts w:ascii="Calibri" w:cs="Calibri" w:eastAsia="Calibri" w:hAnsi="Calibri"/>
                <w:b/>
                <w:bCs/>
                <w:sz w:val="20"/>
                <w:szCs w:val="20"/>
              </w:rPr>
              <w:t xml:space="preserve">Tamaño</w:t>
            </w:r>
          </w:p>
        </w:tc>
      </w:tr>
      <w:tr>
        <w:tc>
          <w:tcPr>
            <w:tcW w:type="dxa" w:w="26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sz w:val="20"/>
                <w:szCs w:val="20"/>
              </w:rPr>
              <w:t xml:space="preserve">identificador del usuario o proceso responsable</w:t>
            </w:r>
          </w:p>
        </w:tc>
        <w:tc>
          <w:tcPr>
            <w:tcW w:type="dxa" w:w="30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sz w:val="20"/>
                <w:szCs w:val="20"/>
              </w:rPr>
              <w:t xml:space="preserve">alfanumérico</w:t>
            </w:r>
          </w:p>
        </w:tc>
        <w:tc>
          <w:tcPr>
            <w:tcW w:type="dxa" w:w="15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sz w:val="20"/>
                <w:szCs w:val="20"/>
              </w:rPr>
              <w:t xml:space="preserve">Sí</w:t>
            </w:r>
          </w:p>
        </w:tc>
        <w:tc>
          <w:tcPr>
            <w:tcW w:type="dxa" w:w="226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sz w:val="20"/>
                <w:szCs w:val="20"/>
              </w:rPr>
              <w:t xml:space="preserve">50 caracteres</w:t>
            </w:r>
          </w:p>
        </w:tc>
      </w:tr>
      <w:tr>
        <w:tc>
          <w:tcPr>
            <w:tcW w:type="dxa" w:w="26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sz w:val="20"/>
                <w:szCs w:val="20"/>
              </w:rPr>
              <w:t xml:space="preserve">rol del usuario responsable</w:t>
            </w:r>
          </w:p>
        </w:tc>
        <w:tc>
          <w:tcPr>
            <w:tcW w:type="dxa" w:w="30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sz w:val="20"/>
                <w:szCs w:val="20"/>
              </w:rPr>
              <w:t xml:space="preserve">texto alfabético</w:t>
            </w:r>
          </w:p>
        </w:tc>
        <w:tc>
          <w:tcPr>
            <w:tcW w:type="dxa" w:w="15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sz w:val="20"/>
                <w:szCs w:val="20"/>
              </w:rPr>
              <w:t xml:space="preserve">Sí</w:t>
            </w:r>
          </w:p>
        </w:tc>
        <w:tc>
          <w:tcPr>
            <w:tcW w:type="dxa" w:w="226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sz w:val="20"/>
                <w:szCs w:val="20"/>
              </w:rPr>
              <w:t xml:space="preserve">30 caracteres</w:t>
            </w:r>
          </w:p>
        </w:tc>
      </w:tr>
      <w:tr>
        <w:tc>
          <w:tcPr>
            <w:tcW w:type="dxa" w:w="26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sz w:val="20"/>
                <w:szCs w:val="20"/>
              </w:rPr>
              <w:t xml:space="preserve">tipo de acción / operación</w:t>
            </w:r>
          </w:p>
        </w:tc>
        <w:tc>
          <w:tcPr>
            <w:tcW w:type="dxa" w:w="30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sz w:val="20"/>
                <w:szCs w:val="20"/>
              </w:rPr>
              <w:t xml:space="preserve">texto alfabético</w:t>
            </w:r>
          </w:p>
        </w:tc>
        <w:tc>
          <w:tcPr>
            <w:tcW w:type="dxa" w:w="15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sz w:val="20"/>
                <w:szCs w:val="20"/>
              </w:rPr>
              <w:t xml:space="preserve">Sí</w:t>
            </w:r>
          </w:p>
        </w:tc>
        <w:tc>
          <w:tcPr>
            <w:tcW w:type="dxa" w:w="226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sz w:val="20"/>
                <w:szCs w:val="20"/>
              </w:rPr>
              <w:t xml:space="preserve">50 caracteres</w:t>
            </w:r>
          </w:p>
        </w:tc>
      </w:tr>
      <w:tr>
        <w:tc>
          <w:tcPr>
            <w:tcW w:type="dxa" w:w="26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sz w:val="20"/>
                <w:szCs w:val="20"/>
              </w:rPr>
              <w:t xml:space="preserve">módulo del sistema afectado</w:t>
            </w:r>
          </w:p>
        </w:tc>
        <w:tc>
          <w:tcPr>
            <w:tcW w:type="dxa" w:w="30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sz w:val="20"/>
                <w:szCs w:val="20"/>
              </w:rPr>
              <w:t xml:space="preserve">texto alfabético</w:t>
            </w:r>
          </w:p>
        </w:tc>
        <w:tc>
          <w:tcPr>
            <w:tcW w:type="dxa" w:w="15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sz w:val="20"/>
                <w:szCs w:val="20"/>
              </w:rPr>
              <w:t xml:space="preserve">Sí</w:t>
            </w:r>
          </w:p>
        </w:tc>
        <w:tc>
          <w:tcPr>
            <w:tcW w:type="dxa" w:w="226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sz w:val="20"/>
                <w:szCs w:val="20"/>
              </w:rPr>
              <w:t xml:space="preserve">40 caracteres</w:t>
            </w:r>
          </w:p>
        </w:tc>
      </w:tr>
      <w:tr>
        <w:tc>
          <w:tcPr>
            <w:tcW w:type="dxa" w:w="26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sz w:val="20"/>
                <w:szCs w:val="20"/>
              </w:rPr>
              <w:t xml:space="preserve">dirección IP y origen de la petición</w:t>
            </w:r>
          </w:p>
        </w:tc>
        <w:tc>
          <w:tcPr>
            <w:tcW w:type="dxa" w:w="30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sz w:val="20"/>
                <w:szCs w:val="20"/>
              </w:rPr>
              <w:t xml:space="preserve">alfanumérico</w:t>
            </w:r>
          </w:p>
        </w:tc>
        <w:tc>
          <w:tcPr>
            <w:tcW w:type="dxa" w:w="15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sz w:val="20"/>
                <w:szCs w:val="20"/>
              </w:rPr>
              <w:t xml:space="preserve">Sí</w:t>
            </w:r>
          </w:p>
        </w:tc>
        <w:tc>
          <w:tcPr>
            <w:tcW w:type="dxa" w:w="226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sz w:val="20"/>
                <w:szCs w:val="20"/>
              </w:rPr>
              <w:t xml:space="preserve">45 caracteres</w:t>
            </w:r>
          </w:p>
        </w:tc>
      </w:tr>
      <w:tr>
        <w:tc>
          <w:tcPr>
            <w:tcW w:type="dxa" w:w="26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sz w:val="20"/>
                <w:szCs w:val="20"/>
              </w:rPr>
              <w:t xml:space="preserve">fecha y hora exacta con milisegundos</w:t>
            </w:r>
          </w:p>
        </w:tc>
        <w:tc>
          <w:tcPr>
            <w:tcW w:type="dxa" w:w="30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sz w:val="20"/>
                <w:szCs w:val="20"/>
              </w:rPr>
              <w:t xml:space="preserve">AAAA-MM-DD HH:MM:SS.mmm</w:t>
            </w:r>
          </w:p>
        </w:tc>
        <w:tc>
          <w:tcPr>
            <w:tcW w:type="dxa" w:w="15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sz w:val="20"/>
                <w:szCs w:val="20"/>
              </w:rPr>
              <w:t xml:space="preserve">Sí</w:t>
            </w:r>
          </w:p>
        </w:tc>
        <w:tc>
          <w:tcPr>
            <w:tcW w:type="dxa" w:w="226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sz w:val="20"/>
                <w:szCs w:val="20"/>
              </w:rPr>
              <w:t xml:space="preserve">23 caracteres</w:t>
            </w:r>
          </w:p>
        </w:tc>
      </w:tr>
      <w:tr>
        <w:tc>
          <w:tcPr>
            <w:tcW w:type="dxa" w:w="26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sz w:val="20"/>
                <w:szCs w:val="20"/>
              </w:rPr>
              <w:t xml:space="preserve">valores anteriores y nuevos</w:t>
            </w:r>
          </w:p>
        </w:tc>
        <w:tc>
          <w:tcPr>
            <w:tcW w:type="dxa" w:w="30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sz w:val="20"/>
                <w:szCs w:val="20"/>
              </w:rPr>
              <w:t xml:space="preserve">JSON con la forma {"anterior": {...}, "nuevo": {...}}</w:t>
            </w:r>
          </w:p>
        </w:tc>
        <w:tc>
          <w:tcPr>
            <w:tcW w:type="dxa" w:w="15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sz w:val="20"/>
                <w:szCs w:val="20"/>
              </w:rPr>
              <w:t xml:space="preserve">Sí</w:t>
            </w:r>
          </w:p>
        </w:tc>
        <w:tc>
          <w:tcPr>
            <w:tcW w:type="dxa" w:w="226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sz w:val="20"/>
                <w:szCs w:val="20"/>
              </w:rPr>
              <w:t xml:space="preserve">1500 caracteres</w:t>
            </w:r>
          </w:p>
        </w:tc>
      </w:tr>
    </w:tbl>
    <w:p>
      <w:pPr>
        <w:spacing w:after="100"/>
      </w:pPr>
      <w:r>
        <w:rPr>
          <w:rFonts w:ascii="Calibri" w:cs="Calibri" w:eastAsia="Calibri" w:hAnsi="Calibri"/>
          <w:sz w:val="22"/>
          <w:szCs w:val="22"/>
        </w:rPr>
        <w:t xml:space="preserve"/>
      </w:r>
    </w:p>
    <w:p>
      <w:pPr>
        <w:pStyle w:val="ListParagraph"/>
        <w:numPr>
          <w:ilvl w:val="0"/>
          <w:numId w:val="4"/>
        </w:numPr>
        <w:spacing w:after="80"/>
      </w:pPr>
      <w:r>
        <w:rPr>
          <w:rFonts w:ascii="Calibri" w:cs="Calibri" w:eastAsia="Calibri" w:hAnsi="Calibri"/>
          <w:sz w:val="22"/>
          <w:szCs w:val="22"/>
        </w:rPr>
        <w:t xml:space="preserve">El sistema guarda el registro de forma inalterable (FA03).</w:t>
      </w:r>
    </w:p>
    <w:p>
      <w:pPr>
        <w:pStyle w:val="ListParagraph"/>
        <w:numPr>
          <w:ilvl w:val="0"/>
          <w:numId w:val="4"/>
        </w:numPr>
        <w:spacing w:after="80"/>
      </w:pPr>
      <w:r>
        <w:rPr>
          <w:rFonts w:ascii="Calibri" w:cs="Calibri" w:eastAsia="Calibri" w:hAnsi="Calibri"/>
          <w:sz w:val="22"/>
          <w:szCs w:val="22"/>
        </w:rPr>
        <w:t xml:space="preserve">Fin del flujo normal básico 2.</w:t>
      </w:r>
    </w:p>
    <w:p>
      <w:pPr>
        <w:keepNext/>
        <w:spacing w:after="60" w:before="140"/>
      </w:pPr>
      <w:r>
        <w:rPr>
          <w:rFonts w:ascii="Calibri" w:cs="Calibri" w:eastAsia="Calibri" w:hAnsi="Calibri"/>
          <w:b/>
          <w:bCs/>
          <w:sz w:val="22"/>
          <w:szCs w:val="22"/>
        </w:rPr>
        <w:t xml:space="preserve">Flujo normal básico 3 – Consultar notificaciones y bitácora</w:t>
      </w:r>
    </w:p>
    <w:p>
      <w:pPr>
        <w:pStyle w:val="ListParagraph"/>
        <w:numPr>
          <w:ilvl w:val="0"/>
          <w:numId w:val="5"/>
        </w:numPr>
        <w:spacing w:after="80"/>
      </w:pPr>
      <w:r>
        <w:rPr>
          <w:rFonts w:ascii="Calibri" w:cs="Calibri" w:eastAsia="Calibri" w:hAnsi="Calibri"/>
          <w:sz w:val="22"/>
          <w:szCs w:val="22"/>
        </w:rPr>
        <w:t xml:space="preserve">En la “Bandeja de casos”, la parte superior muestra los botones “Notificaciones (n)” (para el Administrador General y el Gerente) y “Bitácora (n)” (solo para el Administrador General) (FA05).</w:t>
      </w:r>
    </w:p>
    <w:p>
      <w:pPr>
        <w:pStyle w:val="ListParagraph"/>
        <w:numPr>
          <w:ilvl w:val="0"/>
          <w:numId w:val="5"/>
        </w:numPr>
        <w:spacing w:after="80"/>
      </w:pPr>
      <w:r>
        <w:rPr>
          <w:rFonts w:ascii="Calibri" w:cs="Calibri" w:eastAsia="Calibri" w:hAnsi="Calibri"/>
          <w:sz w:val="22"/>
          <w:szCs w:val="22"/>
        </w:rPr>
        <w:t xml:space="preserve">El usuario presiona “Notificaciones”. El sistema abre la ventana “Bandeja de Notificaciones Automáticas”, con las columnas Caso, Destinatario, Rol, Asunto, Fecha/Hora y el estado del envío con su número de reintentos.</w:t>
      </w:r>
    </w:p>
    <w:p>
      <w:pPr>
        <w:pStyle w:val="ListParagraph"/>
        <w:numPr>
          <w:ilvl w:val="0"/>
          <w:numId w:val="5"/>
        </w:numPr>
        <w:spacing w:after="80"/>
      </w:pPr>
      <w:r>
        <w:rPr>
          <w:rFonts w:ascii="Calibri" w:cs="Calibri" w:eastAsia="Calibri" w:hAnsi="Calibri"/>
          <w:sz w:val="22"/>
          <w:szCs w:val="22"/>
        </w:rPr>
        <w:t xml:space="preserve">El Administrador General presiona “Bitácora”. El sistema abre la ventana “Bitácora de Auditoría del Sistema”, con las columnas ID Auditoría, Fecha/Hora (Exacta), Usuario / Proceso, Operación, Módulo, IP y Detalles, de los eventos más recientes (hasta 200).</w:t>
      </w:r>
    </w:p>
    <w:p>
      <w:pPr>
        <w:pStyle w:val="ListParagraph"/>
        <w:numPr>
          <w:ilvl w:val="0"/>
          <w:numId w:val="5"/>
        </w:numPr>
        <w:spacing w:after="80"/>
      </w:pPr>
      <w:r>
        <w:rPr>
          <w:rFonts w:ascii="Calibri" w:cs="Calibri" w:eastAsia="Calibri" w:hAnsi="Calibri"/>
          <w:sz w:val="22"/>
          <w:szCs w:val="22"/>
        </w:rPr>
        <w:t xml:space="preserve">Sobre la tabla, la ventana ofrece filtros opcionales, que se pueden combinar (FA07):</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000"/>
        <w:gridCol w:w="1500"/>
        <w:gridCol w:w="2260"/>
      </w:tblGrid>
      <w:tr>
        <w:trPr>
          <w:tblHeader/>
        </w:trPr>
        <w:tc>
          <w:tcPr>
            <w:tcW w:type="dxa" w:w="2600"/>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r>
              <w:rPr>
                <w:rFonts w:ascii="Calibri" w:cs="Calibri" w:eastAsia="Calibri" w:hAnsi="Calibri"/>
                <w:b/>
                <w:bCs/>
                <w:sz w:val="20"/>
                <w:szCs w:val="20"/>
              </w:rPr>
              <w:t xml:space="preserve">Nombre</w:t>
            </w:r>
          </w:p>
        </w:tc>
        <w:tc>
          <w:tcPr>
            <w:tcW w:type="dxa" w:w="3000"/>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r>
              <w:rPr>
                <w:rFonts w:ascii="Calibri" w:cs="Calibri" w:eastAsia="Calibri" w:hAnsi="Calibri"/>
                <w:b/>
                <w:bCs/>
                <w:sz w:val="20"/>
                <w:szCs w:val="20"/>
              </w:rPr>
              <w:t xml:space="preserve">Tipo</w:t>
            </w:r>
          </w:p>
        </w:tc>
        <w:tc>
          <w:tcPr>
            <w:tcW w:type="dxa" w:w="1500"/>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r>
              <w:rPr>
                <w:rFonts w:ascii="Calibri" w:cs="Calibri" w:eastAsia="Calibri" w:hAnsi="Calibri"/>
                <w:b/>
                <w:bCs/>
                <w:sz w:val="20"/>
                <w:szCs w:val="20"/>
              </w:rPr>
              <w:t xml:space="preserve">Obligatoriedad</w:t>
            </w:r>
          </w:p>
        </w:tc>
        <w:tc>
          <w:tcPr>
            <w:tcW w:type="dxa" w:w="2260"/>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r>
              <w:rPr>
                <w:rFonts w:ascii="Calibri" w:cs="Calibri" w:eastAsia="Calibri" w:hAnsi="Calibri"/>
                <w:b/>
                <w:bCs/>
                <w:sz w:val="20"/>
                <w:szCs w:val="20"/>
              </w:rPr>
              <w:t xml:space="preserve">Tamaño</w:t>
            </w:r>
          </w:p>
        </w:tc>
      </w:tr>
      <w:tr>
        <w:tc>
          <w:tcPr>
            <w:tcW w:type="dxa" w:w="26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sz w:val="20"/>
                <w:szCs w:val="20"/>
              </w:rPr>
              <w:t xml:space="preserve">Fecha inicial</w:t>
            </w:r>
          </w:p>
        </w:tc>
        <w:tc>
          <w:tcPr>
            <w:tcW w:type="dxa" w:w="30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sz w:val="20"/>
                <w:szCs w:val="20"/>
              </w:rPr>
              <w:t xml:space="preserve">formato fecha DD/MM/AAAA</w:t>
            </w:r>
          </w:p>
        </w:tc>
        <w:tc>
          <w:tcPr>
            <w:tcW w:type="dxa" w:w="15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sz w:val="20"/>
                <w:szCs w:val="20"/>
              </w:rPr>
              <w:t xml:space="preserve">No</w:t>
            </w:r>
          </w:p>
        </w:tc>
        <w:tc>
          <w:tcPr>
            <w:tcW w:type="dxa" w:w="226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sz w:val="20"/>
                <w:szCs w:val="20"/>
              </w:rPr>
              <w:t xml:space="preserve">10 caracteres</w:t>
            </w:r>
          </w:p>
        </w:tc>
      </w:tr>
      <w:tr>
        <w:tc>
          <w:tcPr>
            <w:tcW w:type="dxa" w:w="26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sz w:val="20"/>
                <w:szCs w:val="20"/>
              </w:rPr>
              <w:t xml:space="preserve">Fecha final</w:t>
            </w:r>
          </w:p>
        </w:tc>
        <w:tc>
          <w:tcPr>
            <w:tcW w:type="dxa" w:w="30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sz w:val="20"/>
                <w:szCs w:val="20"/>
              </w:rPr>
              <w:t xml:space="preserve">formato fecha DD/MM/AAAA</w:t>
            </w:r>
          </w:p>
        </w:tc>
        <w:tc>
          <w:tcPr>
            <w:tcW w:type="dxa" w:w="15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sz w:val="20"/>
                <w:szCs w:val="20"/>
              </w:rPr>
              <w:t xml:space="preserve">No</w:t>
            </w:r>
          </w:p>
        </w:tc>
        <w:tc>
          <w:tcPr>
            <w:tcW w:type="dxa" w:w="226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sz w:val="20"/>
                <w:szCs w:val="20"/>
              </w:rPr>
              <w:t xml:space="preserve">10 caracteres</w:t>
            </w:r>
          </w:p>
        </w:tc>
      </w:tr>
      <w:tr>
        <w:tc>
          <w:tcPr>
            <w:tcW w:type="dxa" w:w="26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sz w:val="20"/>
                <w:szCs w:val="20"/>
              </w:rPr>
              <w:t xml:space="preserve">Operación</w:t>
            </w:r>
          </w:p>
        </w:tc>
        <w:tc>
          <w:tcPr>
            <w:tcW w:type="dxa" w:w="30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sz w:val="20"/>
                <w:szCs w:val="20"/>
              </w:rPr>
              <w:t xml:space="preserve">texto</w:t>
            </w:r>
          </w:p>
        </w:tc>
        <w:tc>
          <w:tcPr>
            <w:tcW w:type="dxa" w:w="15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sz w:val="20"/>
                <w:szCs w:val="20"/>
              </w:rPr>
              <w:t xml:space="preserve">No</w:t>
            </w:r>
          </w:p>
        </w:tc>
        <w:tc>
          <w:tcPr>
            <w:tcW w:type="dxa" w:w="226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sz w:val="20"/>
                <w:szCs w:val="20"/>
              </w:rPr>
              <w:t xml:space="preserve">50 caracteres</w:t>
            </w:r>
          </w:p>
        </w:tc>
      </w:tr>
      <w:tr>
        <w:tc>
          <w:tcPr>
            <w:tcW w:type="dxa" w:w="26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sz w:val="20"/>
                <w:szCs w:val="20"/>
              </w:rPr>
              <w:t xml:space="preserve">Módulo</w:t>
            </w:r>
          </w:p>
        </w:tc>
        <w:tc>
          <w:tcPr>
            <w:tcW w:type="dxa" w:w="30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sz w:val="20"/>
                <w:szCs w:val="20"/>
              </w:rPr>
              <w:t xml:space="preserve">texto</w:t>
            </w:r>
          </w:p>
        </w:tc>
        <w:tc>
          <w:tcPr>
            <w:tcW w:type="dxa" w:w="15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sz w:val="20"/>
                <w:szCs w:val="20"/>
              </w:rPr>
              <w:t xml:space="preserve">No</w:t>
            </w:r>
          </w:p>
        </w:tc>
        <w:tc>
          <w:tcPr>
            <w:tcW w:type="dxa" w:w="226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sz w:val="20"/>
                <w:szCs w:val="20"/>
              </w:rPr>
              <w:t xml:space="preserve">40 caracteres</w:t>
            </w:r>
          </w:p>
        </w:tc>
      </w:tr>
      <w:tr>
        <w:tc>
          <w:tcPr>
            <w:tcW w:type="dxa" w:w="26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sz w:val="20"/>
                <w:szCs w:val="20"/>
              </w:rPr>
              <w:t xml:space="preserve">Tipo de actor</w:t>
            </w:r>
          </w:p>
        </w:tc>
        <w:tc>
          <w:tcPr>
            <w:tcW w:type="dxa" w:w="30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sz w:val="20"/>
                <w:szCs w:val="20"/>
              </w:rPr>
              <w:t xml:space="preserve">Todos, Cliente, Personal interno o Sistema</w:t>
            </w:r>
          </w:p>
        </w:tc>
        <w:tc>
          <w:tcPr>
            <w:tcW w:type="dxa" w:w="15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sz w:val="20"/>
                <w:szCs w:val="20"/>
              </w:rPr>
              <w:t xml:space="preserve">No</w:t>
            </w:r>
          </w:p>
        </w:tc>
        <w:tc>
          <w:tcPr>
            <w:tcW w:type="dxa" w:w="226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sz w:val="20"/>
                <w:szCs w:val="20"/>
              </w:rPr>
              <w:t xml:space="preserve">—</w:t>
            </w:r>
          </w:p>
        </w:tc>
      </w:tr>
    </w:tbl>
    <w:p>
      <w:pPr>
        <w:spacing w:after="100"/>
      </w:pPr>
      <w:r>
        <w:rPr>
          <w:rFonts w:ascii="Calibri" w:cs="Calibri" w:eastAsia="Calibri" w:hAnsi="Calibri"/>
          <w:sz w:val="22"/>
          <w:szCs w:val="22"/>
        </w:rPr>
        <w:t xml:space="preserve"/>
      </w:r>
    </w:p>
    <w:p>
      <w:pPr>
        <w:pStyle w:val="ListParagraph"/>
        <w:numPr>
          <w:ilvl w:val="0"/>
          <w:numId w:val="5"/>
        </w:numPr>
        <w:spacing w:after="80"/>
      </w:pPr>
      <w:r>
        <w:rPr>
          <w:rFonts w:ascii="Calibri" w:cs="Calibri" w:eastAsia="Calibri" w:hAnsi="Calibri"/>
          <w:sz w:val="22"/>
          <w:szCs w:val="22"/>
        </w:rPr>
        <w:t xml:space="preserve">El usuario completa los filtros que necesita y presiona el botón “Buscar”; el botón “Limpiar Filtros” los borra y vuelve a mostrar los eventos más recientes.</w:t>
      </w:r>
    </w:p>
    <w:p>
      <w:pPr>
        <w:pStyle w:val="ListParagraph"/>
        <w:numPr>
          <w:ilvl w:val="0"/>
          <w:numId w:val="5"/>
        </w:numPr>
        <w:spacing w:after="80"/>
      </w:pPr>
      <w:r>
        <w:rPr>
          <w:rFonts w:ascii="Calibri" w:cs="Calibri" w:eastAsia="Calibri" w:hAnsi="Calibri"/>
          <w:sz w:val="22"/>
          <w:szCs w:val="22"/>
        </w:rPr>
        <w:t xml:space="preserve">En la columna Detalles, el usuario presiona “Ver Cambios”; el sistema abre “Detalle de Trazabilidad: AUD-&lt;n&gt;”, con los “Valores Anteriores” y los valores nuevos del evento.</w:t>
      </w:r>
    </w:p>
    <w:p>
      <w:pPr>
        <w:pStyle w:val="ListParagraph"/>
        <w:numPr>
          <w:ilvl w:val="0"/>
          <w:numId w:val="5"/>
        </w:numPr>
        <w:spacing w:after="80"/>
      </w:pPr>
      <w:r>
        <w:rPr>
          <w:rFonts w:ascii="Calibri" w:cs="Calibri" w:eastAsia="Calibri" w:hAnsi="Calibri"/>
          <w:sz w:val="22"/>
          <w:szCs w:val="22"/>
        </w:rPr>
        <w:t xml:space="preserve">El usuario cierra la ventana con el botón “Cerrar”.</w:t>
      </w:r>
    </w:p>
    <w:p>
      <w:pPr>
        <w:pStyle w:val="ListParagraph"/>
        <w:numPr>
          <w:ilvl w:val="0"/>
          <w:numId w:val="5"/>
        </w:numPr>
        <w:spacing w:after="80"/>
      </w:pPr>
      <w:r>
        <w:rPr>
          <w:rFonts w:ascii="Calibri" w:cs="Calibri" w:eastAsia="Calibri" w:hAnsi="Calibri"/>
          <w:sz w:val="22"/>
          <w:szCs w:val="22"/>
        </w:rPr>
        <w:t xml:space="preserve">Fin del flujo normal básico 3.</w:t>
      </w:r>
    </w:p>
    <w:p>
      <w:pPr>
        <w:pStyle w:val="Heading2"/>
        <w:spacing w:after="100" w:before="200"/>
      </w:pPr>
      <w:r>
        <w:rPr>
          <w:rFonts w:ascii="Calibri" w:cs="Calibri" w:eastAsia="Calibri" w:hAnsi="Calibri"/>
          <w:b/>
          <w:bCs/>
          <w:color w:val="2F5496"/>
          <w:sz w:val="24"/>
          <w:szCs w:val="24"/>
        </w:rPr>
        <w:t xml:space="preserve">2.4 Flujos alternos</w:t>
      </w:r>
    </w:p>
    <w:p>
      <w:pPr>
        <w:keepNext/>
        <w:spacing w:after="60" w:before="140"/>
      </w:pPr>
      <w:r>
        <w:rPr>
          <w:rFonts w:ascii="Calibri" w:cs="Calibri" w:eastAsia="Calibri" w:hAnsi="Calibri"/>
          <w:b/>
          <w:bCs/>
          <w:sz w:val="22"/>
          <w:szCs w:val="22"/>
        </w:rPr>
        <w:t xml:space="preserve">FA01 – Error en el envío:</w:t>
      </w:r>
    </w:p>
    <w:p>
      <w:pPr>
        <w:pStyle w:val="ListParagraph"/>
        <w:numPr>
          <w:ilvl w:val="0"/>
          <w:numId w:val="6"/>
        </w:numPr>
        <w:spacing w:after="80"/>
      </w:pPr>
      <w:r>
        <w:rPr>
          <w:rFonts w:ascii="Calibri" w:cs="Calibri" w:eastAsia="Calibri" w:hAnsi="Calibri"/>
          <w:sz w:val="22"/>
          <w:szCs w:val="22"/>
        </w:rPr>
        <w:t xml:space="preserve">El envío falla por un problema con el correo o con el servidor de comunicaciones.</w:t>
      </w:r>
    </w:p>
    <w:p>
      <w:pPr>
        <w:pStyle w:val="ListParagraph"/>
        <w:numPr>
          <w:ilvl w:val="0"/>
          <w:numId w:val="6"/>
        </w:numPr>
        <w:spacing w:after="80"/>
      </w:pPr>
      <w:r>
        <w:rPr>
          <w:rFonts w:ascii="Calibri" w:cs="Calibri" w:eastAsia="Calibri" w:hAnsi="Calibri"/>
          <w:sz w:val="22"/>
          <w:szCs w:val="22"/>
        </w:rPr>
        <w:t xml:space="preserve">El sistema registra el fallo y reintenta hasta 3 veces, con intervalos de 5 minutos.</w:t>
      </w:r>
    </w:p>
    <w:p>
      <w:pPr>
        <w:pStyle w:val="ListParagraph"/>
        <w:numPr>
          <w:ilvl w:val="0"/>
          <w:numId w:val="6"/>
        </w:numPr>
        <w:spacing w:after="80"/>
      </w:pPr>
      <w:r>
        <w:rPr>
          <w:rFonts w:ascii="Calibri" w:cs="Calibri" w:eastAsia="Calibri" w:hAnsi="Calibri"/>
          <w:sz w:val="22"/>
          <w:szCs w:val="22"/>
        </w:rPr>
        <w:t xml:space="preserve">Si continúa fallando, el sistema deja la incidencia en estado “Revisión administrativa”, visible en “Bandeja de Notificaciones Automáticas”.</w:t>
      </w:r>
    </w:p>
    <w:p>
      <w:pPr>
        <w:pStyle w:val="ListParagraph"/>
        <w:numPr>
          <w:ilvl w:val="0"/>
          <w:numId w:val="6"/>
        </w:numPr>
        <w:spacing w:after="80"/>
      </w:pPr>
      <w:r>
        <w:rPr>
          <w:rFonts w:ascii="Calibri" w:cs="Calibri" w:eastAsia="Calibri" w:hAnsi="Calibri"/>
          <w:sz w:val="22"/>
          <w:szCs w:val="22"/>
        </w:rPr>
        <w:t xml:space="preserve">Fin del flujo alterno.</w:t>
      </w:r>
    </w:p>
    <w:p>
      <w:pPr>
        <w:keepNext/>
        <w:spacing w:after="60" w:before="140"/>
      </w:pPr>
      <w:r>
        <w:rPr>
          <w:rFonts w:ascii="Calibri" w:cs="Calibri" w:eastAsia="Calibri" w:hAnsi="Calibri"/>
          <w:b/>
          <w:bCs/>
          <w:sz w:val="22"/>
          <w:szCs w:val="22"/>
        </w:rPr>
        <w:t xml:space="preserve">FA02 – Sin datos de contacto:</w:t>
      </w:r>
    </w:p>
    <w:p>
      <w:pPr>
        <w:pStyle w:val="ListParagraph"/>
        <w:numPr>
          <w:ilvl w:val="0"/>
          <w:numId w:val="7"/>
        </w:numPr>
        <w:spacing w:after="80"/>
      </w:pPr>
      <w:r>
        <w:rPr>
          <w:rFonts w:ascii="Calibri" w:cs="Calibri" w:eastAsia="Calibri" w:hAnsi="Calibri"/>
          <w:sz w:val="22"/>
          <w:szCs w:val="22"/>
        </w:rPr>
        <w:t xml:space="preserve">El sistema detecta que el destinatario no tiene un correo válido.</w:t>
      </w:r>
    </w:p>
    <w:p>
      <w:pPr>
        <w:pStyle w:val="ListParagraph"/>
        <w:numPr>
          <w:ilvl w:val="0"/>
          <w:numId w:val="7"/>
        </w:numPr>
        <w:spacing w:after="80"/>
      </w:pPr>
      <w:r>
        <w:rPr>
          <w:rFonts w:ascii="Calibri" w:cs="Calibri" w:eastAsia="Calibri" w:hAnsi="Calibri"/>
          <w:sz w:val="22"/>
          <w:szCs w:val="22"/>
        </w:rPr>
        <w:t xml:space="preserve">El sistema registra la incidencia como “Sin contacto válido”. La operación que originó el aviso continúa sin bloquearse.</w:t>
      </w:r>
    </w:p>
    <w:p>
      <w:pPr>
        <w:pStyle w:val="ListParagraph"/>
        <w:numPr>
          <w:ilvl w:val="0"/>
          <w:numId w:val="7"/>
        </w:numPr>
        <w:spacing w:after="80"/>
      </w:pPr>
      <w:r>
        <w:rPr>
          <w:rFonts w:ascii="Calibri" w:cs="Calibri" w:eastAsia="Calibri" w:hAnsi="Calibri"/>
          <w:sz w:val="22"/>
          <w:szCs w:val="22"/>
        </w:rPr>
        <w:t xml:space="preserve">Fin del flujo alterno.</w:t>
      </w:r>
    </w:p>
    <w:p>
      <w:pPr>
        <w:keepNext/>
        <w:spacing w:after="60" w:before="140"/>
      </w:pPr>
      <w:r>
        <w:rPr>
          <w:rFonts w:ascii="Calibri" w:cs="Calibri" w:eastAsia="Calibri" w:hAnsi="Calibri"/>
          <w:b/>
          <w:bCs/>
          <w:sz w:val="22"/>
          <w:szCs w:val="22"/>
        </w:rPr>
        <w:t xml:space="preserve">FA03 – Error al registrar la auditoría:</w:t>
      </w:r>
    </w:p>
    <w:p>
      <w:pPr>
        <w:pStyle w:val="ListParagraph"/>
        <w:numPr>
          <w:ilvl w:val="0"/>
          <w:numId w:val="8"/>
        </w:numPr>
        <w:spacing w:after="80"/>
      </w:pPr>
      <w:r>
        <w:rPr>
          <w:rFonts w:ascii="Calibri" w:cs="Calibri" w:eastAsia="Calibri" w:hAnsi="Calibri"/>
          <w:sz w:val="22"/>
          <w:szCs w:val="22"/>
        </w:rPr>
        <w:t xml:space="preserve">Ocurre un error técnico al guardar el registro.</w:t>
      </w:r>
    </w:p>
    <w:p>
      <w:pPr>
        <w:pStyle w:val="ListParagraph"/>
        <w:numPr>
          <w:ilvl w:val="0"/>
          <w:numId w:val="8"/>
        </w:numPr>
        <w:spacing w:after="80"/>
      </w:pPr>
      <w:r>
        <w:rPr>
          <w:rFonts w:ascii="Calibri" w:cs="Calibri" w:eastAsia="Calibri" w:hAnsi="Calibri"/>
          <w:sz w:val="22"/>
          <w:szCs w:val="22"/>
        </w:rPr>
        <w:t xml:space="preserve">El sistema deja constancia de la incidencia técnica y la operación original continúa sin bloquearse.</w:t>
      </w:r>
    </w:p>
    <w:p>
      <w:pPr>
        <w:pStyle w:val="ListParagraph"/>
        <w:numPr>
          <w:ilvl w:val="0"/>
          <w:numId w:val="8"/>
        </w:numPr>
        <w:spacing w:after="80"/>
      </w:pPr>
      <w:r>
        <w:rPr>
          <w:rFonts w:ascii="Calibri" w:cs="Calibri" w:eastAsia="Calibri" w:hAnsi="Calibri"/>
          <w:sz w:val="22"/>
          <w:szCs w:val="22"/>
        </w:rPr>
        <w:t xml:space="preserve">Fin del flujo alterno.</w:t>
      </w:r>
    </w:p>
    <w:p>
      <w:pPr>
        <w:keepNext/>
        <w:spacing w:after="60" w:before="140"/>
      </w:pPr>
      <w:r>
        <w:rPr>
          <w:rFonts w:ascii="Calibri" w:cs="Calibri" w:eastAsia="Calibri" w:hAnsi="Calibri"/>
          <w:b/>
          <w:bCs/>
          <w:sz w:val="22"/>
          <w:szCs w:val="22"/>
        </w:rPr>
        <w:t xml:space="preserve">FA04 – Información insuficiente para auditar:</w:t>
      </w:r>
    </w:p>
    <w:p>
      <w:pPr>
        <w:pStyle w:val="ListParagraph"/>
        <w:numPr>
          <w:ilvl w:val="0"/>
          <w:numId w:val="9"/>
        </w:numPr>
        <w:spacing w:after="80"/>
      </w:pPr>
      <w:r>
        <w:rPr>
          <w:rFonts w:ascii="Calibri" w:cs="Calibri" w:eastAsia="Calibri" w:hAnsi="Calibri"/>
          <w:sz w:val="22"/>
          <w:szCs w:val="22"/>
        </w:rPr>
        <w:t xml:space="preserve">El sistema detecta que falta información para completar el registro.</w:t>
      </w:r>
    </w:p>
    <w:p>
      <w:pPr>
        <w:pStyle w:val="ListParagraph"/>
        <w:numPr>
          <w:ilvl w:val="0"/>
          <w:numId w:val="9"/>
        </w:numPr>
        <w:spacing w:after="80"/>
      </w:pPr>
      <w:r>
        <w:rPr>
          <w:rFonts w:ascii="Calibri" w:cs="Calibri" w:eastAsia="Calibri" w:hAnsi="Calibri"/>
          <w:sz w:val="22"/>
          <w:szCs w:val="22"/>
        </w:rPr>
        <w:t xml:space="preserve">El sistema registra la incidencia técnica y conserva la información disponible del evento.</w:t>
      </w:r>
    </w:p>
    <w:p>
      <w:pPr>
        <w:pStyle w:val="ListParagraph"/>
        <w:numPr>
          <w:ilvl w:val="0"/>
          <w:numId w:val="9"/>
        </w:numPr>
        <w:spacing w:after="80"/>
      </w:pPr>
      <w:r>
        <w:rPr>
          <w:rFonts w:ascii="Calibri" w:cs="Calibri" w:eastAsia="Calibri" w:hAnsi="Calibri"/>
          <w:sz w:val="22"/>
          <w:szCs w:val="22"/>
        </w:rPr>
        <w:t xml:space="preserve">Fin del flujo alterno.</w:t>
      </w:r>
    </w:p>
    <w:p>
      <w:pPr>
        <w:keepNext/>
        <w:spacing w:after="60" w:before="140"/>
      </w:pPr>
      <w:r>
        <w:rPr>
          <w:rFonts w:ascii="Calibri" w:cs="Calibri" w:eastAsia="Calibri" w:hAnsi="Calibri"/>
          <w:b/>
          <w:bCs/>
          <w:sz w:val="22"/>
          <w:szCs w:val="22"/>
        </w:rPr>
        <w:t xml:space="preserve">FA05 – Sin permisos para consultar:</w:t>
      </w:r>
    </w:p>
    <w:p>
      <w:pPr>
        <w:pStyle w:val="ListParagraph"/>
        <w:numPr>
          <w:ilvl w:val="0"/>
          <w:numId w:val="10"/>
        </w:numPr>
        <w:spacing w:after="80"/>
      </w:pPr>
      <w:r>
        <w:rPr>
          <w:rFonts w:ascii="Calibri" w:cs="Calibri" w:eastAsia="Calibri" w:hAnsi="Calibri"/>
          <w:sz w:val="22"/>
          <w:szCs w:val="22"/>
        </w:rPr>
        <w:t xml:space="preserve">Un usuario sin el rol necesario intenta consultar las notificaciones o la bitácora.</w:t>
      </w:r>
    </w:p>
    <w:p>
      <w:pPr>
        <w:pStyle w:val="ListParagraph"/>
        <w:numPr>
          <w:ilvl w:val="0"/>
          <w:numId w:val="10"/>
        </w:numPr>
        <w:spacing w:after="80"/>
      </w:pPr>
      <w:r>
        <w:rPr>
          <w:rFonts w:ascii="Calibri" w:cs="Calibri" w:eastAsia="Calibri" w:hAnsi="Calibri"/>
          <w:sz w:val="22"/>
          <w:szCs w:val="22"/>
        </w:rPr>
        <w:t xml:space="preserve">El sistema no muestra los botones correspondientes y, si se intenta por otra vía, rechaza la operación con el mensaje: “No posee permisos suficientes para realizar la acción”.</w:t>
      </w:r>
    </w:p>
    <w:p>
      <w:pPr>
        <w:pStyle w:val="ListParagraph"/>
        <w:numPr>
          <w:ilvl w:val="0"/>
          <w:numId w:val="10"/>
        </w:numPr>
        <w:spacing w:after="80"/>
      </w:pPr>
      <w:r>
        <w:rPr>
          <w:rFonts w:ascii="Calibri" w:cs="Calibri" w:eastAsia="Calibri" w:hAnsi="Calibri"/>
          <w:sz w:val="22"/>
          <w:szCs w:val="22"/>
        </w:rPr>
        <w:t xml:space="preserve">Fin del flujo alterno.</w:t>
      </w:r>
    </w:p>
    <w:p>
      <w:pPr>
        <w:keepNext/>
        <w:spacing w:after="60" w:before="140"/>
      </w:pPr>
      <w:r>
        <w:rPr>
          <w:rFonts w:ascii="Calibri" w:cs="Calibri" w:eastAsia="Calibri" w:hAnsi="Calibri"/>
          <w:b/>
          <w:bCs/>
          <w:sz w:val="22"/>
          <w:szCs w:val="22"/>
        </w:rPr>
        <w:t xml:space="preserve">FA06 – Aún no hay registros:</w:t>
      </w:r>
    </w:p>
    <w:p>
      <w:pPr>
        <w:pStyle w:val="ListParagraph"/>
        <w:numPr>
          <w:ilvl w:val="0"/>
          <w:numId w:val="11"/>
        </w:numPr>
        <w:spacing w:after="80"/>
      </w:pPr>
      <w:r>
        <w:rPr>
          <w:rFonts w:ascii="Calibri" w:cs="Calibri" w:eastAsia="Calibri" w:hAnsi="Calibri"/>
          <w:sz w:val="22"/>
          <w:szCs w:val="22"/>
        </w:rPr>
        <w:t xml:space="preserve">No se han generado notificaciones o eventos auditables.</w:t>
      </w:r>
    </w:p>
    <w:p>
      <w:pPr>
        <w:pStyle w:val="ListParagraph"/>
        <w:numPr>
          <w:ilvl w:val="0"/>
          <w:numId w:val="11"/>
        </w:numPr>
        <w:spacing w:after="80"/>
      </w:pPr>
      <w:r>
        <w:rPr>
          <w:rFonts w:ascii="Calibri" w:cs="Calibri" w:eastAsia="Calibri" w:hAnsi="Calibri"/>
          <w:sz w:val="22"/>
          <w:szCs w:val="22"/>
        </w:rPr>
        <w:t xml:space="preserve">El sistema muestra el mensaje “Aún no se han generado notificaciones automáticas.” o “Aún no se han registrado eventos auditables.”, según la ventana.</w:t>
      </w:r>
    </w:p>
    <w:p>
      <w:pPr>
        <w:pStyle w:val="ListParagraph"/>
        <w:numPr>
          <w:ilvl w:val="0"/>
          <w:numId w:val="11"/>
        </w:numPr>
        <w:spacing w:after="80"/>
      </w:pPr>
      <w:r>
        <w:rPr>
          <w:rFonts w:ascii="Calibri" w:cs="Calibri" w:eastAsia="Calibri" w:hAnsi="Calibri"/>
          <w:sz w:val="22"/>
          <w:szCs w:val="22"/>
        </w:rPr>
        <w:t xml:space="preserve">Fin del flujo alterno.</w:t>
      </w:r>
    </w:p>
    <w:p>
      <w:pPr>
        <w:keepNext/>
        <w:spacing w:after="60" w:before="140"/>
      </w:pPr>
      <w:r>
        <w:rPr>
          <w:rFonts w:ascii="Calibri" w:cs="Calibri" w:eastAsia="Calibri" w:hAnsi="Calibri"/>
          <w:b/>
          <w:bCs/>
          <w:sz w:val="22"/>
          <w:szCs w:val="22"/>
        </w:rPr>
        <w:t xml:space="preserve">FA07 – Criterios de la bitácora inválidos o sin resultados:</w:t>
      </w:r>
    </w:p>
    <w:p>
      <w:pPr>
        <w:pStyle w:val="ListParagraph"/>
        <w:numPr>
          <w:ilvl w:val="0"/>
          <w:numId w:val="12"/>
        </w:numPr>
        <w:spacing w:after="80"/>
      </w:pPr>
      <w:r>
        <w:rPr>
          <w:rFonts w:ascii="Calibri" w:cs="Calibri" w:eastAsia="Calibri" w:hAnsi="Calibri"/>
          <w:sz w:val="22"/>
          <w:szCs w:val="22"/>
        </w:rPr>
        <w:t xml:space="preserve">El usuario escribe una fecha con formato incorrecto, o los filtros no coinciden con ningún evento.</w:t>
      </w:r>
    </w:p>
    <w:p>
      <w:pPr>
        <w:pStyle w:val="ListParagraph"/>
        <w:numPr>
          <w:ilvl w:val="0"/>
          <w:numId w:val="12"/>
        </w:numPr>
        <w:spacing w:after="80"/>
      </w:pPr>
      <w:r>
        <w:rPr>
          <w:rFonts w:ascii="Calibri" w:cs="Calibri" w:eastAsia="Calibri" w:hAnsi="Calibri"/>
          <w:sz w:val="22"/>
          <w:szCs w:val="22"/>
        </w:rPr>
        <w:t xml:space="preserve">Si la fecha es inválida, el sistema muestra el mensaje “La fecha inicial es inválida. Use el formato DD/MM/AAAA” o “La fecha final es inválida. Use el formato DD/MM/AAAA”; si no hay coincidencias, muestra “No se encontraron eventos con los criterios seleccionados.”</w:t>
      </w:r>
    </w:p>
    <w:p>
      <w:pPr>
        <w:pStyle w:val="ListParagraph"/>
        <w:numPr>
          <w:ilvl w:val="0"/>
          <w:numId w:val="12"/>
        </w:numPr>
        <w:spacing w:after="80"/>
      </w:pPr>
      <w:r>
        <w:rPr>
          <w:rFonts w:ascii="Calibri" w:cs="Calibri" w:eastAsia="Calibri" w:hAnsi="Calibri"/>
          <w:sz w:val="22"/>
          <w:szCs w:val="22"/>
        </w:rPr>
        <w:t xml:space="preserve">El usuario corrige los filtros y retorna al paso 4 del Flujo 3.</w:t>
      </w:r>
    </w:p>
    <w:p>
      <w:pPr>
        <w:pStyle w:val="Heading2"/>
        <w:spacing w:after="100" w:before="200"/>
      </w:pPr>
      <w:r>
        <w:rPr>
          <w:rFonts w:ascii="Calibri" w:cs="Calibri" w:eastAsia="Calibri" w:hAnsi="Calibri"/>
          <w:b/>
          <w:bCs/>
          <w:color w:val="2F5496"/>
          <w:sz w:val="24"/>
          <w:szCs w:val="24"/>
        </w:rPr>
        <w:t xml:space="preserve">2.5 Postcondiciones</w:t>
      </w:r>
    </w:p>
    <w:p>
      <w:pPr>
        <w:pStyle w:val="ListParagraph"/>
        <w:numPr>
          <w:ilvl w:val="0"/>
          <w:numId w:val="2"/>
        </w:numPr>
        <w:spacing w:after="60"/>
      </w:pPr>
      <w:r>
        <w:rPr>
          <w:rFonts w:ascii="Calibri" w:cs="Calibri" w:eastAsia="Calibri" w:hAnsi="Calibri"/>
          <w:sz w:val="22"/>
          <w:szCs w:val="22"/>
        </w:rPr>
        <w:t xml:space="preserve">El destinatario recibe el aviso cuando el envío se completa; el resultado queda guardado y los fallos quedan identificados para su revisión.</w:t>
      </w:r>
    </w:p>
    <w:p>
      <w:pPr>
        <w:pStyle w:val="ListParagraph"/>
        <w:numPr>
          <w:ilvl w:val="0"/>
          <w:numId w:val="2"/>
        </w:numPr>
        <w:spacing w:after="60"/>
      </w:pPr>
      <w:r>
        <w:rPr>
          <w:rFonts w:ascii="Calibri" w:cs="Calibri" w:eastAsia="Calibri" w:hAnsi="Calibri"/>
          <w:sz w:val="22"/>
          <w:szCs w:val="22"/>
        </w:rPr>
        <w:t xml:space="preserve">La acción queda registrada en la bitácora con información suficiente para identificar el evento, y el Administrador General puede consultarla.</w:t>
      </w:r>
    </w:p>
    <w:p>
      <w:pPr>
        <w:pStyle w:val="Heading1"/>
        <w:spacing w:after="120" w:before="240"/>
      </w:pPr>
      <w:r>
        <w:rPr>
          <w:rFonts w:ascii="Calibri" w:cs="Calibri" w:eastAsia="Calibri" w:hAnsi="Calibri"/>
          <w:b/>
          <w:bCs/>
          <w:color w:val="1F3864"/>
          <w:sz w:val="28"/>
          <w:szCs w:val="28"/>
        </w:rPr>
        <w:t xml:space="preserve">3. Requerimientos suplementarios o no funcionales</w:t>
      </w:r>
    </w:p>
    <w:p>
      <w:pPr>
        <w:keepNext/>
        <w:spacing w:after="60" w:before="140"/>
      </w:pPr>
      <w:r>
        <w:rPr>
          <w:rFonts w:ascii="Calibri" w:cs="Calibri" w:eastAsia="Calibri" w:hAnsi="Calibri"/>
          <w:b/>
          <w:bCs/>
          <w:sz w:val="22"/>
          <w:szCs w:val="22"/>
        </w:rPr>
        <w:t xml:space="preserve">Notificaciones</w:t>
      </w:r>
    </w:p>
    <w:p>
      <w:pPr>
        <w:pStyle w:val="ListParagraph"/>
        <w:numPr>
          <w:ilvl w:val="0"/>
          <w:numId w:val="2"/>
        </w:numPr>
        <w:spacing w:after="60"/>
      </w:pPr>
      <w:r>
        <w:rPr>
          <w:rFonts w:ascii="Calibri" w:cs="Calibri" w:eastAsia="Calibri" w:hAnsi="Calibri"/>
          <w:sz w:val="22"/>
          <w:szCs w:val="22"/>
        </w:rPr>
        <w:t xml:space="preserve">Las notificaciones se generan automáticamente, sin intervención manual, en menos de 5 segundos después del evento.</w:t>
      </w:r>
    </w:p>
    <w:p>
      <w:pPr>
        <w:pStyle w:val="ListParagraph"/>
        <w:numPr>
          <w:ilvl w:val="0"/>
          <w:numId w:val="2"/>
        </w:numPr>
        <w:spacing w:after="60"/>
      </w:pPr>
      <w:r>
        <w:rPr>
          <w:rFonts w:ascii="Calibri" w:cs="Calibri" w:eastAsia="Calibri" w:hAnsi="Calibri"/>
          <w:sz w:val="22"/>
          <w:szCs w:val="22"/>
        </w:rPr>
        <w:t xml:space="preserve">El sistema reintenta los envíos fallidos y registra fecha, hora, tipo y resultado de cada notificación.</w:t>
      </w:r>
    </w:p>
    <w:p>
      <w:pPr>
        <w:keepNext/>
        <w:spacing w:after="60" w:before="140"/>
      </w:pPr>
      <w:r>
        <w:rPr>
          <w:rFonts w:ascii="Calibri" w:cs="Calibri" w:eastAsia="Calibri" w:hAnsi="Calibri"/>
          <w:b/>
          <w:bCs/>
          <w:sz w:val="22"/>
          <w:szCs w:val="22"/>
        </w:rPr>
        <w:t xml:space="preserve">Bitácora</w:t>
      </w:r>
    </w:p>
    <w:p>
      <w:pPr>
        <w:pStyle w:val="ListParagraph"/>
        <w:numPr>
          <w:ilvl w:val="0"/>
          <w:numId w:val="2"/>
        </w:numPr>
        <w:spacing w:after="60"/>
      </w:pPr>
      <w:r>
        <w:rPr>
          <w:rFonts w:ascii="Calibri" w:cs="Calibri" w:eastAsia="Calibri" w:hAnsi="Calibri"/>
          <w:sz w:val="22"/>
          <w:szCs w:val="22"/>
        </w:rPr>
        <w:t xml:space="preserve">Los registros están protegidos contra modificaciones: no se editan ni se eliminan sin una autorización y un control definidos.</w:t>
      </w:r>
    </w:p>
    <w:p>
      <w:pPr>
        <w:pStyle w:val="ListParagraph"/>
        <w:numPr>
          <w:ilvl w:val="0"/>
          <w:numId w:val="2"/>
        </w:numPr>
        <w:spacing w:after="60"/>
      </w:pPr>
      <w:r>
        <w:rPr>
          <w:rFonts w:ascii="Calibri" w:cs="Calibri" w:eastAsia="Calibri" w:hAnsi="Calibri"/>
          <w:sz w:val="22"/>
          <w:szCs w:val="22"/>
        </w:rPr>
        <w:t xml:space="preserve">Solo el Administrador General puede consultar la bitácora.</w:t>
      </w:r>
    </w:p>
    <w:p>
      <w:pPr>
        <w:pStyle w:val="ListParagraph"/>
        <w:numPr>
          <w:ilvl w:val="0"/>
          <w:numId w:val="2"/>
        </w:numPr>
        <w:spacing w:after="60"/>
      </w:pPr>
      <w:r>
        <w:rPr>
          <w:rFonts w:ascii="Calibri" w:cs="Calibri" w:eastAsia="Calibri" w:hAnsi="Calibri"/>
          <w:sz w:val="22"/>
          <w:szCs w:val="22"/>
        </w:rPr>
        <w:t xml:space="preserve">Cada registro contiene, como mínimo, la acción, la fecha y hora y el usuario o proceso responsable.</w:t>
      </w:r>
    </w:p>
    <w:p>
      <w:pPr>
        <w:pStyle w:val="ListParagraph"/>
        <w:numPr>
          <w:ilvl w:val="0"/>
          <w:numId w:val="2"/>
        </w:numPr>
        <w:spacing w:after="60"/>
      </w:pPr>
      <w:r>
        <w:rPr>
          <w:rFonts w:ascii="Calibri" w:cs="Calibri" w:eastAsia="Calibri" w:hAnsi="Calibri"/>
          <w:sz w:val="22"/>
          <w:szCs w:val="22"/>
        </w:rPr>
        <w:t xml:space="preserve">Un fallo en la bitácora queda registrado para su revisión y no altera la operación original.</w:t>
      </w:r>
    </w:p>
    <w:p>
      <w:pPr>
        <w:pStyle w:val="Heading1"/>
        <w:spacing w:after="120" w:before="240"/>
      </w:pPr>
      <w:r>
        <w:rPr>
          <w:rFonts w:ascii="Calibri" w:cs="Calibri" w:eastAsia="Calibri" w:hAnsi="Calibri"/>
          <w:b/>
          <w:bCs/>
          <w:color w:val="1F3864"/>
          <w:sz w:val="28"/>
          <w:szCs w:val="28"/>
        </w:rPr>
        <w:t xml:space="preserve">4. Firmas necesarias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3000"/>
        <w:gridCol w:w="3160"/>
      </w:tblGrid>
      <w:tr>
        <w:trPr>
          <w:tblHeader/>
        </w:trPr>
        <w:tc>
          <w:tcPr>
            <w:tcW w:type="dxa" w:w="3200"/>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r>
              <w:rPr>
                <w:rFonts w:ascii="Calibri" w:cs="Calibri" w:eastAsia="Calibri" w:hAnsi="Calibri"/>
                <w:b/>
                <w:bCs/>
                <w:sz w:val="20"/>
                <w:szCs w:val="20"/>
              </w:rPr>
              <w:t xml:space="preserve">Persona</w:t>
            </w:r>
          </w:p>
        </w:tc>
        <w:tc>
          <w:tcPr>
            <w:tcW w:type="dxa" w:w="3000"/>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r>
              <w:rPr>
                <w:rFonts w:ascii="Calibri" w:cs="Calibri" w:eastAsia="Calibri" w:hAnsi="Calibri"/>
                <w:b/>
                <w:bCs/>
                <w:sz w:val="20"/>
                <w:szCs w:val="20"/>
              </w:rPr>
              <w:t xml:space="preserve">Sector</w:t>
            </w:r>
          </w:p>
        </w:tc>
        <w:tc>
          <w:tcPr>
            <w:tcW w:type="dxa" w:w="3160"/>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r>
              <w:rPr>
                <w:rFonts w:ascii="Calibri" w:cs="Calibri" w:eastAsia="Calibri" w:hAnsi="Calibri"/>
                <w:b/>
                <w:bCs/>
                <w:sz w:val="20"/>
                <w:szCs w:val="20"/>
              </w:rPr>
              <w:t xml:space="preserve">Firma</w:t>
            </w:r>
          </w:p>
        </w:tc>
      </w:tr>
      <w:tr>
        <w:tc>
          <w:tcPr>
            <w:tcW w:type="dxa" w:w="32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sz w:val="20"/>
                <w:szCs w:val="20"/>
              </w:rPr>
              <w:t xml:space="preserve"/>
            </w:r>
          </w:p>
        </w:tc>
        <w:tc>
          <w:tcPr>
            <w:tcW w:type="dxa" w:w="30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sz w:val="20"/>
                <w:szCs w:val="20"/>
              </w:rPr>
              <w:t xml:space="preserve"/>
            </w:r>
          </w:p>
        </w:tc>
        <w:tc>
          <w:tcPr>
            <w:tcW w:type="dxa" w:w="316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sz w:val="20"/>
                <w:szCs w:val="20"/>
              </w:rPr>
              <w:t xml:space="preserve"/>
            </w:r>
          </w:p>
        </w:tc>
      </w:tr>
      <w:tr>
        <w:tc>
          <w:tcPr>
            <w:tcW w:type="dxa" w:w="32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sz w:val="20"/>
                <w:szCs w:val="20"/>
              </w:rPr>
              <w:t xml:space="preserve"/>
            </w:r>
          </w:p>
        </w:tc>
        <w:tc>
          <w:tcPr>
            <w:tcW w:type="dxa" w:w="30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sz w:val="20"/>
                <w:szCs w:val="20"/>
              </w:rPr>
              <w:t xml:space="preserve"/>
            </w:r>
          </w:p>
        </w:tc>
        <w:tc>
          <w:tcPr>
            <w:tcW w:type="dxa" w:w="316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sz w:val="20"/>
                <w:szCs w:val="20"/>
              </w:rPr>
              <w:t xml:space="preserve"/>
            </w:r>
          </w:p>
        </w:tc>
      </w:tr>
      <w:tr>
        <w:tc>
          <w:tcPr>
            <w:tcW w:type="dxa" w:w="32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sz w:val="20"/>
                <w:szCs w:val="20"/>
              </w:rPr>
              <w:t xml:space="preserve"/>
            </w:r>
          </w:p>
        </w:tc>
        <w:tc>
          <w:tcPr>
            <w:tcW w:type="dxa" w:w="30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sz w:val="20"/>
                <w:szCs w:val="20"/>
              </w:rPr>
              <w:t xml:space="preserve"/>
            </w:r>
          </w:p>
        </w:tc>
        <w:tc>
          <w:tcPr>
            <w:tcW w:type="dxa" w:w="316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sz w:val="20"/>
                <w:szCs w:val="20"/>
              </w:rPr>
              <w:t xml:space="preserve"/>
            </w:r>
          </w:p>
        </w:tc>
      </w:tr>
    </w:tbl>
    <w:sectPr>
      <w:pgSz w:w="12240" w:h="15840"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540" w:hanging="270"/>
      </w:pPr>
    </w:lvl>
  </w:abstractNum>
  <w:abstractNum w:abstractNumId="3" w15:restartNumberingAfterBreak="0">
    <w:multiLevelType w:val="hybridMultilevel"/>
    <w:lvl w:ilvl="0" w:tentative="1">
      <w:start w:val="1"/>
      <w:numFmt w:val="decimal"/>
      <w:lvlText w:val="%1."/>
      <w:lvlJc w:val="left"/>
      <w:pPr>
        <w:ind w:left="540" w:hanging="360"/>
      </w:pPr>
    </w:lvl>
  </w:abstractNum>
  <w:abstractNum w:abstractNumId="4" w15:restartNumberingAfterBreak="0">
    <w:multiLevelType w:val="hybridMultilevel"/>
    <w:lvl w:ilvl="0" w:tentative="1">
      <w:start w:val="1"/>
      <w:numFmt w:val="decimal"/>
      <w:lvlText w:val="%1."/>
      <w:lvlJc w:val="left"/>
      <w:pPr>
        <w:ind w:left="540" w:hanging="360"/>
      </w:pPr>
    </w:lvl>
  </w:abstractNum>
  <w:abstractNum w:abstractNumId="5" w15:restartNumberingAfterBreak="0">
    <w:multiLevelType w:val="hybridMultilevel"/>
    <w:lvl w:ilvl="0" w:tentative="1">
      <w:start w:val="1"/>
      <w:numFmt w:val="decimal"/>
      <w:lvlText w:val="%1."/>
      <w:lvlJc w:val="left"/>
      <w:pPr>
        <w:ind w:left="540" w:hanging="360"/>
      </w:pPr>
    </w:lvl>
  </w:abstractNum>
  <w:abstractNum w:abstractNumId="6" w15:restartNumberingAfterBreak="0">
    <w:multiLevelType w:val="hybridMultilevel"/>
    <w:lvl w:ilvl="0" w:tentative="1">
      <w:start w:val="1"/>
      <w:numFmt w:val="decimal"/>
      <w:lvlText w:val="%1."/>
      <w:lvlJc w:val="left"/>
      <w:pPr>
        <w:ind w:left="540" w:hanging="360"/>
      </w:pPr>
    </w:lvl>
  </w:abstractNum>
  <w:abstractNum w:abstractNumId="7" w15:restartNumberingAfterBreak="0">
    <w:multiLevelType w:val="hybridMultilevel"/>
    <w:lvl w:ilvl="0" w:tentative="1">
      <w:start w:val="1"/>
      <w:numFmt w:val="decimal"/>
      <w:lvlText w:val="%1."/>
      <w:lvlJc w:val="left"/>
      <w:pPr>
        <w:ind w:left="540" w:hanging="360"/>
      </w:pPr>
    </w:lvl>
  </w:abstractNum>
  <w:abstractNum w:abstractNumId="8" w15:restartNumberingAfterBreak="0">
    <w:multiLevelType w:val="hybridMultilevel"/>
    <w:lvl w:ilvl="0" w:tentative="1">
      <w:start w:val="1"/>
      <w:numFmt w:val="decimal"/>
      <w:lvlText w:val="%1."/>
      <w:lvlJc w:val="left"/>
      <w:pPr>
        <w:ind w:left="540" w:hanging="360"/>
      </w:pPr>
    </w:lvl>
  </w:abstractNum>
  <w:abstractNum w:abstractNumId="9" w15:restartNumberingAfterBreak="0">
    <w:multiLevelType w:val="hybridMultilevel"/>
    <w:lvl w:ilvl="0" w:tentative="1">
      <w:start w:val="1"/>
      <w:numFmt w:val="decimal"/>
      <w:lvlText w:val="%1."/>
      <w:lvlJc w:val="left"/>
      <w:pPr>
        <w:ind w:left="540" w:hanging="360"/>
      </w:pPr>
    </w:lvl>
  </w:abstractNum>
  <w:abstractNum w:abstractNumId="10" w15:restartNumberingAfterBreak="0">
    <w:multiLevelType w:val="hybridMultilevel"/>
    <w:lvl w:ilvl="0" w:tentative="1">
      <w:start w:val="1"/>
      <w:numFmt w:val="decimal"/>
      <w:lvlText w:val="%1."/>
      <w:lvlJc w:val="left"/>
      <w:pPr>
        <w:ind w:left="540" w:hanging="360"/>
      </w:pPr>
    </w:lvl>
  </w:abstractNum>
  <w:abstractNum w:abstractNumId="11" w15:restartNumberingAfterBreak="0">
    <w:multiLevelType w:val="hybridMultilevel"/>
    <w:lvl w:ilvl="0" w:tentative="1">
      <w:start w:val="1"/>
      <w:numFmt w:val="decimal"/>
      <w:lvlText w:val="%1."/>
      <w:lvlJc w:val="left"/>
      <w:pPr>
        <w:ind w:left="540" w:hanging="360"/>
      </w:pPr>
    </w:lvl>
  </w:abstractNum>
  <w:abstractNum w:abstractNumId="12" w15:restartNumberingAfterBreak="0">
    <w:multiLevelType w:val="hybridMultilevel"/>
    <w:lvl w:ilvl="0" w:tentative="1">
      <w:start w:val="1"/>
      <w:numFmt w:val="decimal"/>
      <w:lvlText w:val="%1."/>
      <w:lvlJc w:val="left"/>
      <w:pPr>
        <w:ind w:left="54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1"/>
    </w:lvlOverride>
  </w:num>
  <w:num w:numId="7">
    <w:abstractNumId w:val="7"/>
    <w:lvlOverride w:ilvl="0">
      <w:startOverride w:val="1"/>
    </w:lvlOverride>
  </w:num>
  <w:num w:numId="8">
    <w:abstractNumId w:val="8"/>
    <w:lvlOverride w:ilvl="0">
      <w:startOverride w:val="1"/>
    </w:lvlOverride>
  </w:num>
  <w:num w:numId="9">
    <w:abstractNumId w:val="9"/>
    <w:lvlOverride w:ilvl="0">
      <w:startOverride w:val="1"/>
    </w:lvlOverride>
  </w:num>
  <w:num w:numId="10">
    <w:abstractNumId w:val="10"/>
    <w:lvlOverride w:ilvl="0">
      <w:startOverride w:val="1"/>
    </w:lvlOverride>
  </w:num>
  <w:num w:numId="11">
    <w:abstractNumId w:val="11"/>
    <w:lvlOverride w:ilvl="0">
      <w:startOverride w:val="1"/>
    </w:lvlOverride>
  </w:num>
  <w:num w:numId="12">
    <w:abstractNumId w:val="1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40"/>
      <w:outlineLvl w:val="0"/>
    </w:pPr>
    <w:rPr>
      <w:rFonts w:ascii="Calibri" w:cs="Calibri" w:eastAsia="Calibri" w:hAnsi="Calibri"/>
      <w:b/>
      <w:bCs/>
      <w:sz w:val="28"/>
      <w:szCs w:val="28"/>
    </w:rPr>
  </w:style>
  <w:style w:type="paragraph" w:styleId="Heading2">
    <w:name w:val="Heading 2"/>
    <w:basedOn w:val="Normal"/>
    <w:next w:val="Normal"/>
    <w:qFormat/>
    <w:pPr>
      <w:spacing w:after="100" w:before="200"/>
      <w:outlineLvl w:val="1"/>
    </w:pPr>
    <w:rPr>
      <w:rFonts w:ascii="Calibri" w:cs="Calibri" w:eastAsia="Calibri" w:hAnsi="Calibri"/>
      <w:b/>
      <w:bCs/>
      <w:sz w:val="24"/>
      <w:szCs w:val="24"/>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CU-10 Notificaciones Automáticas y Bitácora de Auditoría</dc:title>
  <dc:creator>Heydi Herrera, Daniel Lima</dc:creator>
  <cp:lastModifiedBy>Un-named</cp:lastModifiedBy>
  <cp:revision>1</cp:revision>
  <dcterms:created xsi:type="dcterms:W3CDTF">2026-10-10T05:32:42.738Z</dcterms:created>
  <dcterms:modified xsi:type="dcterms:W3CDTF">2026-10-10T05:32:42.738Z</dcterms:modified>
</cp:coreProperties>
</file>

<file path=docProps/custom.xml><?xml version="1.0" encoding="utf-8"?>
<Properties xmlns="http://schemas.openxmlformats.org/officeDocument/2006/custom-properties" xmlns:vt="http://schemas.openxmlformats.org/officeDocument/2006/docPropsVTypes"/>
</file>