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1B38" w14:textId="77777777" w:rsidR="005C19F0" w:rsidRDefault="00A9064B" w:rsidP="00E21783">
      <w:pPr>
        <w:spacing w:before="2400" w:after="240"/>
        <w:jc w:val="center"/>
      </w:pPr>
      <w:r>
        <w:rPr>
          <w:b/>
          <w:bCs/>
          <w:color w:val="1F3864"/>
          <w:sz w:val="44"/>
          <w:szCs w:val="44"/>
        </w:rPr>
        <w:t>Synthèse bibliographique</w:t>
      </w:r>
    </w:p>
    <w:p w14:paraId="547A1B39" w14:textId="77777777" w:rsidR="005C19F0" w:rsidRDefault="00A9064B" w:rsidP="00E21783">
      <w:pPr>
        <w:spacing w:after="480"/>
        <w:jc w:val="center"/>
      </w:pPr>
      <w:r>
        <w:rPr>
          <w:color w:val="595959"/>
          <w:sz w:val="28"/>
          <w:szCs w:val="28"/>
        </w:rPr>
        <w:t>Travail de Bachelor — ge-trouve.ch</w:t>
      </w:r>
    </w:p>
    <w:p w14:paraId="547A1B3A" w14:textId="77777777" w:rsidR="005C19F0" w:rsidRDefault="00A9064B" w:rsidP="00E21783">
      <w:pPr>
        <w:spacing w:after="120"/>
        <w:jc w:val="center"/>
      </w:pPr>
      <w:r>
        <w:rPr>
          <w:i/>
          <w:iCs/>
          <w:color w:val="595959"/>
          <w:sz w:val="24"/>
          <w:szCs w:val="24"/>
        </w:rPr>
        <w:t>Conception, développement et évaluation d'un assistant</w:t>
      </w:r>
    </w:p>
    <w:p w14:paraId="547A1B3B" w14:textId="77777777" w:rsidR="005C19F0" w:rsidRDefault="00A9064B" w:rsidP="00E21783">
      <w:pPr>
        <w:spacing w:after="120"/>
        <w:jc w:val="center"/>
      </w:pPr>
      <w:r>
        <w:rPr>
          <w:i/>
          <w:iCs/>
          <w:color w:val="595959"/>
          <w:sz w:val="24"/>
          <w:szCs w:val="24"/>
        </w:rPr>
        <w:t>conversationnel RAG en français pour les démarches</w:t>
      </w:r>
    </w:p>
    <w:p w14:paraId="547A1B3C" w14:textId="77777777" w:rsidR="005C19F0" w:rsidRDefault="00A9064B" w:rsidP="00E21783">
      <w:pPr>
        <w:spacing w:after="1200"/>
        <w:jc w:val="center"/>
      </w:pPr>
      <w:r>
        <w:rPr>
          <w:i/>
          <w:iCs/>
          <w:color w:val="595959"/>
          <w:sz w:val="24"/>
          <w:szCs w:val="24"/>
        </w:rPr>
        <w:t>administratives du canton de Genève</w:t>
      </w:r>
    </w:p>
    <w:p w14:paraId="547A1B3D" w14:textId="77777777" w:rsidR="005C19F0" w:rsidRDefault="00A9064B" w:rsidP="00E21783">
      <w:pPr>
        <w:spacing w:after="120"/>
        <w:jc w:val="center"/>
      </w:pPr>
      <w:r>
        <w:rPr>
          <w:b/>
          <w:bCs/>
          <w:sz w:val="24"/>
          <w:szCs w:val="24"/>
        </w:rPr>
        <w:t>Daniel Garcia</w:t>
      </w:r>
    </w:p>
    <w:p w14:paraId="547A1B3E" w14:textId="77777777" w:rsidR="005C19F0" w:rsidRDefault="00A9064B">
      <w:pPr>
        <w:spacing w:after="120"/>
        <w:jc w:val="center"/>
      </w:pPr>
      <w:r>
        <w:t>HEG-Genève — Filière Informatique de gestion</w:t>
      </w:r>
    </w:p>
    <w:p w14:paraId="547A1B3F" w14:textId="77777777" w:rsidR="005C19F0" w:rsidRDefault="00A9064B">
      <w:pPr>
        <w:spacing w:after="120"/>
        <w:jc w:val="center"/>
      </w:pPr>
      <w:r>
        <w:rPr>
          <w:color w:val="595959"/>
        </w:rPr>
        <w:t>Avril 2026</w:t>
      </w:r>
    </w:p>
    <w:p w14:paraId="547A1B40" w14:textId="77777777" w:rsidR="005C19F0" w:rsidRDefault="00A9064B">
      <w:r>
        <w:br w:type="page"/>
      </w:r>
    </w:p>
    <w:p w14:paraId="547A1B41" w14:textId="77777777" w:rsidR="005C19F0" w:rsidRDefault="00A9064B">
      <w:pPr>
        <w:pStyle w:val="Heading1"/>
        <w:spacing w:before="240" w:after="120"/>
      </w:pPr>
      <w:r>
        <w:rPr>
          <w:b/>
          <w:bCs/>
          <w:color w:val="1F3864"/>
        </w:rPr>
        <w:lastRenderedPageBreak/>
        <w:t>Introduction</w:t>
      </w:r>
    </w:p>
    <w:p w14:paraId="547A1B42" w14:textId="240098A8" w:rsidR="005C19F0" w:rsidRDefault="00A9064B">
      <w:pPr>
        <w:spacing w:before="80" w:after="80" w:line="300" w:lineRule="auto"/>
        <w:jc w:val="both"/>
      </w:pPr>
      <w:r>
        <w:t>Ce document présente une synthèse des neuf sources principales mobilisées pour la rédaction du Chapitre 1 de mon Travail de Bachelor sur ge-trouve.ch. L'objectif est triple : présenter le contenu de chaque article en une demi-page environ, situer chaque publication dans son contexte historique et institutionnel, et expliciter les liens qui les unissent les unes aux autres.</w:t>
      </w:r>
    </w:p>
    <w:p w14:paraId="547A1B43" w14:textId="0CBAF47B" w:rsidR="005C19F0" w:rsidRDefault="00A9064B">
      <w:pPr>
        <w:spacing w:before="80" w:after="80" w:line="300" w:lineRule="auto"/>
        <w:jc w:val="both"/>
      </w:pPr>
      <w:r>
        <w:t>Les huit articles académiques retenus couvrent l'ensemble du parcours intellectuel qui mène à la conception d'un système RAG moderne. Ils s'échelonnent de 2017 à 2025 : du Transformer de Vaswani et al., l'architecture fondatrice sur laquelle reposent tous les modèles de langue actuels, jusqu'aux travaux les plus récents sur la robustesse du RAG. À ces articles s'ajoute un article de presse spécialisée publié en 2024 par ICTjournal, qui ancre la réflexion dans le contexte suisse et illustre comment l'administration fédérale s'empare concrètement de ces outils.</w:t>
      </w:r>
    </w:p>
    <w:p w14:paraId="547A1B44" w14:textId="77777777" w:rsidR="005C19F0" w:rsidRDefault="00A9064B">
      <w:pPr>
        <w:spacing w:before="80" w:after="80" w:line="300" w:lineRule="auto"/>
        <w:jc w:val="both"/>
      </w:pPr>
      <w:r>
        <w:t>Cette synthèse vise à servir de socle de référence pour la rédaction du chapitre 1, mais elle pourra également être réutilisée comme support de bibliographie commentée dans le mémoire final.</w:t>
      </w:r>
    </w:p>
    <w:p w14:paraId="626AAD28" w14:textId="77777777" w:rsidR="00076961" w:rsidRDefault="00076961">
      <w:pPr>
        <w:spacing w:before="80" w:after="80" w:line="300" w:lineRule="auto"/>
        <w:jc w:val="both"/>
      </w:pPr>
    </w:p>
    <w:p w14:paraId="363BDCA2" w14:textId="77777777" w:rsidR="00076961" w:rsidRPr="00076961" w:rsidRDefault="00076961" w:rsidP="00076961">
      <w:pPr>
        <w:spacing w:before="80" w:after="80" w:line="300" w:lineRule="auto"/>
        <w:jc w:val="both"/>
      </w:pPr>
      <w:r>
        <w:t>Pour les chapitres suivants (2-7), il faudra ajouter d'autres sources, notamment :</w:t>
      </w:r>
    </w:p>
    <w:p w14:paraId="318C1130" w14:textId="77777777" w:rsidR="00076961" w:rsidRPr="00076961" w:rsidRDefault="00076961" w:rsidP="00076961">
      <w:pPr>
        <w:numPr>
          <w:ilvl w:val="0"/>
          <w:numId w:val="2"/>
        </w:numPr>
        <w:spacing w:before="80" w:after="80" w:line="300" w:lineRule="auto"/>
        <w:jc w:val="both"/>
      </w:pPr>
      <w:r>
        <w:t>Pour le Chapitre 2 (frameworks) : documentation officielle LangChain/LlamaIndex</w:t>
      </w:r>
    </w:p>
    <w:p w14:paraId="657C2C36" w14:textId="77777777" w:rsidR="00076961" w:rsidRPr="00076961" w:rsidRDefault="00076961" w:rsidP="00076961">
      <w:pPr>
        <w:numPr>
          <w:ilvl w:val="0"/>
          <w:numId w:val="2"/>
        </w:numPr>
        <w:spacing w:before="80" w:after="80" w:line="300" w:lineRule="auto"/>
        <w:jc w:val="both"/>
      </w:pPr>
      <w:r>
        <w:t>Pour le Chapitre 3 (LLMs) : papers Mistral, Llama</w:t>
      </w:r>
    </w:p>
    <w:p w14:paraId="67B90249" w14:textId="77777777" w:rsidR="00076961" w:rsidRPr="00076961" w:rsidRDefault="00076961" w:rsidP="00076961">
      <w:pPr>
        <w:numPr>
          <w:ilvl w:val="0"/>
          <w:numId w:val="2"/>
        </w:numPr>
        <w:spacing w:before="80" w:after="80" w:line="300" w:lineRule="auto"/>
        <w:jc w:val="both"/>
      </w:pPr>
      <w:r>
        <w:t>Pour le Chapitre 4 (embeddings) : papers sur les embeddings multilingues</w:t>
      </w:r>
    </w:p>
    <w:p w14:paraId="3F998F39" w14:textId="77777777" w:rsidR="00076961" w:rsidRPr="00076961" w:rsidRDefault="00076961" w:rsidP="00076961">
      <w:pPr>
        <w:numPr>
          <w:ilvl w:val="0"/>
          <w:numId w:val="2"/>
        </w:numPr>
        <w:spacing w:before="80" w:after="80" w:line="300" w:lineRule="auto"/>
        <w:jc w:val="both"/>
      </w:pPr>
      <w:r>
        <w:t>Pour le Chapitre 5 (bases vectorielles) : benchmarks Qdrant/Chroma/FAISS</w:t>
      </w:r>
    </w:p>
    <w:p w14:paraId="01185C58" w14:textId="77777777" w:rsidR="00076961" w:rsidRPr="00076961" w:rsidRDefault="00076961" w:rsidP="00076961">
      <w:pPr>
        <w:numPr>
          <w:ilvl w:val="0"/>
          <w:numId w:val="2"/>
        </w:numPr>
        <w:spacing w:before="80" w:after="80" w:line="300" w:lineRule="auto"/>
        <w:jc w:val="both"/>
        <w:rPr>
          <w:lang w:val="en-US"/>
        </w:rPr>
      </w:pPr>
      <w:r>
        <w:rPr>
          <w:lang w:val="en-US"/>
        </w:rPr>
        <w:t>Pour le Chapitre 7 (RAG francophone) : article ICTjournal que tu as déjà</w:t>
      </w:r>
    </w:p>
    <w:p w14:paraId="586450D6" w14:textId="77777777" w:rsidR="00076961" w:rsidRDefault="00076961">
      <w:pPr>
        <w:spacing w:before="80" w:after="80" w:line="300" w:lineRule="auto"/>
        <w:jc w:val="both"/>
      </w:pPr>
    </w:p>
    <w:p w14:paraId="547A1B45" w14:textId="77777777" w:rsidR="005C19F0" w:rsidRDefault="00A9064B">
      <w:r>
        <w:br w:type="page"/>
      </w:r>
    </w:p>
    <w:p w14:paraId="0A000101" w14:textId="77777777" w:rsidR="005C19F0" w:rsidRPr="00076961" w:rsidRDefault="00A9064B">
      <w:pPr>
        <w:pStyle w:val="Heading2"/>
        <w:pBdr>
          <w:bottom w:val="single" w:sz="8" w:space="4" w:color="1F3864"/>
        </w:pBdr>
        <w:spacing w:before="360" w:after="80"/>
        <w:rPr>
          <w:lang w:val="en-US"/>
        </w:rPr>
      </w:pPr>
      <w:r>
        <w:rPr>
          <w:b/>
          <w:bCs/>
          <w:color w:val="1F3864"/>
          <w:lang w:val="en-US"/>
        </w:rPr>
        <w:t>1. Vaswani et al. (2017) — Attention Is All You Need</w:t>
      </w:r>
    </w:p>
    <w:p w14:paraId="0A000102" w14:textId="77777777" w:rsidR="005C19F0" w:rsidRPr="00076961" w:rsidRDefault="00A9064B">
      <w:pPr>
        <w:spacing w:before="40" w:after="40"/>
        <w:rPr>
          <w:lang w:val="en-US"/>
        </w:rPr>
      </w:pPr>
      <w:r>
        <w:rPr>
          <w:b/>
          <w:bCs/>
          <w:sz w:val="20"/>
          <w:szCs w:val="20"/>
          <w:lang w:val="en-US"/>
        </w:rPr>
        <w:t xml:space="preserve">Auteurs : </w:t>
      </w:r>
      <w:r>
        <w:rPr>
          <w:sz w:val="20"/>
          <w:szCs w:val="20"/>
          <w:lang w:val="en-US"/>
        </w:rPr>
        <w:t>Ashish Vaswani, Noam Shazeer, Niki Parmar, Jakob Uszkoreit, Llion Jones, Aidan N. Gomez, Łukasz Kaiser, Illia Polosukhin</w:t>
      </w:r>
    </w:p>
    <w:p w14:paraId="0A000103" w14:textId="77777777" w:rsidR="005C19F0" w:rsidRPr="00076961" w:rsidRDefault="00A9064B">
      <w:pPr>
        <w:spacing w:before="40" w:after="40"/>
        <w:rPr>
          <w:lang w:val="en-US"/>
        </w:rPr>
      </w:pPr>
      <w:r>
        <w:rPr>
          <w:b/>
          <w:bCs/>
          <w:sz w:val="20"/>
          <w:szCs w:val="20"/>
          <w:lang w:val="en-US"/>
        </w:rPr>
        <w:t xml:space="preserve">Affiliations : </w:t>
      </w:r>
      <w:r>
        <w:rPr>
          <w:sz w:val="20"/>
          <w:szCs w:val="20"/>
          <w:lang w:val="en-US"/>
        </w:rPr>
        <w:t>Google Brain, Google Research, University of Toronto</w:t>
      </w:r>
    </w:p>
    <w:p w14:paraId="0A000104" w14:textId="77777777" w:rsidR="005C19F0" w:rsidRDefault="00A9064B">
      <w:pPr>
        <w:spacing w:before="40" w:after="40"/>
      </w:pPr>
      <w:r>
        <w:rPr>
          <w:b/>
          <w:bCs/>
          <w:sz w:val="20"/>
          <w:szCs w:val="20"/>
        </w:rPr>
        <w:t xml:space="preserve">Publication : </w:t>
      </w:r>
      <w:r>
        <w:rPr>
          <w:sz w:val="20"/>
          <w:szCs w:val="20"/>
        </w:rPr>
        <w:t>NeurIPS 2017 (preprint arXiv:1706.03762, juin 2017)</w:t>
      </w:r>
    </w:p>
    <w:p w14:paraId="0A000105" w14:textId="77777777" w:rsidR="005C19F0" w:rsidRDefault="00A9064B">
      <w:pPr>
        <w:spacing w:before="40" w:after="40"/>
      </w:pPr>
      <w:r>
        <w:rPr>
          <w:b/>
          <w:bCs/>
          <w:sz w:val="20"/>
          <w:szCs w:val="20"/>
        </w:rPr>
        <w:t xml:space="preserve">DOI : </w:t>
      </w:r>
      <w:r>
        <w:rPr>
          <w:sz w:val="20"/>
          <w:szCs w:val="20"/>
        </w:rPr>
        <w:t>10.48550/arXiv.1706.03762</w:t>
      </w:r>
    </w:p>
    <w:p w14:paraId="0A000106" w14:textId="77777777" w:rsidR="005C19F0" w:rsidRDefault="00A9064B">
      <w:pPr>
        <w:pStyle w:val="Heading3"/>
        <w:spacing w:before="200" w:after="80"/>
      </w:pPr>
      <w:r>
        <w:rPr>
          <w:b/>
          <w:bCs/>
          <w:color w:val="2E5C8A"/>
          <w:sz w:val="22"/>
          <w:szCs w:val="22"/>
        </w:rPr>
        <w:t>Résumé</w:t>
      </w:r>
    </w:p>
    <w:p w14:paraId="0A000107" w14:textId="77777777" w:rsidR="005C19F0" w:rsidRDefault="00A9064B">
      <w:pPr>
        <w:spacing w:before="80" w:after="80" w:line="300" w:lineRule="auto"/>
        <w:jc w:val="both"/>
      </w:pPr>
      <w:r>
        <w:t>L'article introduit le Transformer, une architecture de réseau de neurones pour le traitement de séquences qui repose entièrement sur des mécanismes d'attention, en abandonnant la récurrence et les convolutions utilisées jusque-là. La contribution centrale est la self-attention multi-têtes : chaque élément d'une séquence est représenté par trois vecteurs — requête (query), clé (key) et valeur (value) — et le modèle calcule, pour chaque mot, la pertinence de tous les autres mots de la phrase, ce qui lui permet de relier directement des éléments éloignés sans passer par une chaîne d'états intermédiaires. L'architecture conserve une structure encodeur-décodeur empilée sur six couches, complétée par un encodage positionnel sinusoïdal qui réintroduit l'ordre des mots, par des connexions résiduelles et une normalisation de couche. Évalué sur la traduction automatique (WMT 2014), le Transformer établit de nouveaux records — 28,4 BLEU en anglais-allemand et 41,8 BLEU en anglais-français — tout en étant nettement plus rapide à entraîner que les modèles récurrents concurrents, grâce à une parallélisation complète du calcul. Les auteurs montrent enfin que l'architecture se généralise au-delà de la traduction, ce que confirmeront massivement les travaux ultérieurs.</w:t>
      </w:r>
    </w:p>
    <w:p w14:paraId="0A000108" w14:textId="77777777" w:rsidR="005C19F0" w:rsidRDefault="00A9064B">
      <w:pPr>
        <w:pStyle w:val="Heading3"/>
        <w:spacing w:before="200" w:after="80"/>
      </w:pPr>
      <w:r>
        <w:rPr>
          <w:b/>
          <w:bCs/>
          <w:color w:val="2E5C8A"/>
          <w:sz w:val="22"/>
          <w:szCs w:val="22"/>
        </w:rPr>
        <w:t>Contexte et importance</w:t>
      </w:r>
    </w:p>
    <w:p w14:paraId="0A000109" w14:textId="77777777" w:rsidR="005C19F0" w:rsidRDefault="00A9064B">
      <w:pPr>
        <w:spacing w:before="80" w:after="80" w:line="300" w:lineRule="auto"/>
        <w:jc w:val="both"/>
      </w:pPr>
      <w:r>
        <w:t>Attention Is All You Need est l'un des articles les plus influents de l'apprentissage automatique récent : il fonde l'architecture sur laquelle reposent l'ensemble des grands modèles de langue actuels, de BERT à GPT en passant par BART, Mistral et Llama. Sa portée dépasse donc largement la traduction automatique pour laquelle il a été initialement conçu. Dans ma revue de littérature, il occupe une place particulière : ce n'est pas un article sur le RAG, mais c'est la fondation architecturale commune à tous les composants d'un système RAG. Le retriever dense (DPR) utilisé par Lewis repose sur BERT, qui est un Transformer ; le générateur (BART) est un Transformer encodeur-décodeur ; et le LLM que j'envisage pour ge-trouve.ch, Mistral, est un Transformer décodeur.</w:t>
      </w:r>
    </w:p>
    <w:p w14:paraId="0A00010A" w14:textId="77777777" w:rsidR="005C19F0" w:rsidRDefault="00A9064B">
      <w:pPr>
        <w:spacing w:before="80" w:after="80" w:line="300" w:lineRule="auto"/>
        <w:jc w:val="both"/>
      </w:pPr>
      <w:r>
        <w:t>Le placer en ouverture de mon Chapitre 1 me permet de ne pas présenter ces modèles comme des boîtes noires et d'expliquer, en amont du RAG, ce qu'est l'attention et pourquoi cette architecture s'est imposée. C'est aussi la source naturelle pour appuyer le Chapitre 3 (choix du LLM), puisque comparer Mistral et Llama revient à comparer des variantes d'une même architecture. Une nuance mérite d'être notée pour un service public : si les poids d'attention offrent un début d'interprétabilité, ils n'expliquent pas à eux seuls les décisions du modèle — c'est précisément ce manque de traçabilité que le RAG vient combler en citant ses sources.</w:t>
      </w:r>
    </w:p>
    <w:p w14:paraId="0A00010B" w14:textId="77777777" w:rsidR="005C19F0" w:rsidRDefault="00A9064B">
      <w:r>
        <w:br w:type="page"/>
      </w:r>
    </w:p>
    <w:p w14:paraId="547A1B46" w14:textId="77777777" w:rsidR="005C19F0" w:rsidRPr="00076961" w:rsidRDefault="00A9064B">
      <w:pPr>
        <w:pStyle w:val="Heading2"/>
        <w:pBdr>
          <w:bottom w:val="single" w:sz="8" w:space="4" w:color="1F3864"/>
        </w:pBdr>
        <w:spacing w:before="360" w:after="80"/>
        <w:rPr>
          <w:lang w:val="en-US"/>
        </w:rPr>
      </w:pPr>
      <w:r>
        <w:rPr>
          <w:b/>
          <w:bCs/>
          <w:color w:val="1F3864"/>
          <w:lang w:val="en-US"/>
        </w:rPr>
        <w:lastRenderedPageBreak/>
        <w:t>2. Lewis et al. (2020) — Retrieval-Augmented Generation for Knowledge-Intensive NLP Tasks</w:t>
      </w:r>
    </w:p>
    <w:p w14:paraId="547A1B47" w14:textId="77777777" w:rsidR="005C19F0" w:rsidRPr="00076961" w:rsidRDefault="00A9064B">
      <w:pPr>
        <w:spacing w:before="40" w:after="40"/>
        <w:rPr>
          <w:lang w:val="en-US"/>
        </w:rPr>
      </w:pPr>
      <w:r>
        <w:rPr>
          <w:b/>
          <w:bCs/>
          <w:sz w:val="20"/>
          <w:szCs w:val="20"/>
          <w:lang w:val="en-US"/>
        </w:rPr>
        <w:t xml:space="preserve">Auteurs : </w:t>
      </w:r>
      <w:r>
        <w:rPr>
          <w:sz w:val="20"/>
          <w:szCs w:val="20"/>
          <w:lang w:val="en-US"/>
        </w:rPr>
        <w:t>Patrick Lewis, Ethan Perez, Aleksandra Piktus, Fabio Petroni, Vladimir Karpukhin, Naman Goyal, Heinrich Küttler, Mike Lewis, Wen-tau Yih, Tim Rocktäschel, Sebastian Riedel, Douwe Kiela</w:t>
      </w:r>
    </w:p>
    <w:p w14:paraId="547A1B48" w14:textId="77777777" w:rsidR="005C19F0" w:rsidRPr="00076961" w:rsidRDefault="00A9064B">
      <w:pPr>
        <w:spacing w:before="40" w:after="40"/>
        <w:rPr>
          <w:lang w:val="en-US"/>
        </w:rPr>
      </w:pPr>
      <w:r>
        <w:rPr>
          <w:b/>
          <w:bCs/>
          <w:sz w:val="20"/>
          <w:szCs w:val="20"/>
          <w:lang w:val="en-US"/>
        </w:rPr>
        <w:t xml:space="preserve">Affiliations : </w:t>
      </w:r>
      <w:r>
        <w:rPr>
          <w:sz w:val="20"/>
          <w:szCs w:val="20"/>
          <w:lang w:val="en-US"/>
        </w:rPr>
        <w:t>Facebook AI Research (aujourd'hui Meta AI), University College London, New York University</w:t>
      </w:r>
    </w:p>
    <w:p w14:paraId="547A1B49" w14:textId="77777777" w:rsidR="005C19F0" w:rsidRDefault="00A9064B">
      <w:pPr>
        <w:spacing w:before="40" w:after="40"/>
      </w:pPr>
      <w:r>
        <w:rPr>
          <w:b/>
          <w:bCs/>
          <w:sz w:val="20"/>
          <w:szCs w:val="20"/>
        </w:rPr>
        <w:t xml:space="preserve">Publication : </w:t>
      </w:r>
      <w:r>
        <w:rPr>
          <w:sz w:val="20"/>
          <w:szCs w:val="20"/>
        </w:rPr>
        <w:t>NeurIPS 2020 (preprint arXiv:2005.11401, mai 2020)</w:t>
      </w:r>
    </w:p>
    <w:p w14:paraId="547A1B4A" w14:textId="77777777" w:rsidR="005C19F0" w:rsidRDefault="00A9064B">
      <w:pPr>
        <w:spacing w:before="40" w:after="40"/>
      </w:pPr>
      <w:r>
        <w:rPr>
          <w:b/>
          <w:bCs/>
          <w:sz w:val="20"/>
          <w:szCs w:val="20"/>
        </w:rPr>
        <w:t xml:space="preserve">DOI : </w:t>
      </w:r>
      <w:r>
        <w:rPr>
          <w:sz w:val="20"/>
          <w:szCs w:val="20"/>
        </w:rPr>
        <w:t>10.48550/arXiv.2005.11401</w:t>
      </w:r>
    </w:p>
    <w:p w14:paraId="547A1B4B" w14:textId="77777777" w:rsidR="005C19F0" w:rsidRDefault="00A9064B">
      <w:pPr>
        <w:pStyle w:val="Heading3"/>
        <w:spacing w:before="200" w:after="80"/>
      </w:pPr>
      <w:r>
        <w:rPr>
          <w:b/>
          <w:bCs/>
          <w:color w:val="2E5C8A"/>
          <w:sz w:val="22"/>
          <w:szCs w:val="22"/>
        </w:rPr>
        <w:t>Résumé</w:t>
      </w:r>
    </w:p>
    <w:p w14:paraId="547A1B4C" w14:textId="77777777" w:rsidR="005C19F0" w:rsidRDefault="00A9064B">
      <w:pPr>
        <w:spacing w:before="80" w:after="80" w:line="300" w:lineRule="auto"/>
        <w:jc w:val="both"/>
      </w:pPr>
      <w:r>
        <w:t>L'article propose une approche générique de fine-tuning combinant deux types de mémoires complémentaires : une mémoire paramétrique (un modèle seq2seq pré-entraîné, BART-large) et une mémoire non-paramétrique (un index vectoriel dense de Wikipédia, accédé via le retriever DPR de Karpukhin et al.). Le système est entraîné de bout en bout en traitant les documents récupérés comme une variable latente, et les auteurs comparent deux variantes : RAG-Sequence, qui utilise un seul document pour générer toute la séquence de sortie, et RAG-Token, qui peut s'appuyer sur un document différent pour chaque token généré. Les expériences couvrent quatre tâches de question-réponse en domaine ouvert (Natural Questions, TriviaQA, WebQuestions, CuratedTrec), la génération abstraite avec MS-MARCO, la génération de questions Jeopardy et la vérification de faits avec FEVER. RAG établit l'état de l'art sur trois des quatre tâches QA, et démontre surtout que le contenu généré est plus spécifique, plus diversifié et plus factuel qu'avec un modèle purement paramétrique. Un point particulièrement important pour mon travail : les auteurs montrent qu'on peut mettre à jour la connaissance du système simplement en remplaçant l'index documentaire, sans réentraîner le modèle.</w:t>
      </w:r>
    </w:p>
    <w:p w14:paraId="547A1B4D" w14:textId="77777777" w:rsidR="005C19F0" w:rsidRDefault="00A9064B">
      <w:pPr>
        <w:pStyle w:val="Heading3"/>
        <w:spacing w:before="200" w:after="80"/>
      </w:pPr>
      <w:r>
        <w:rPr>
          <w:b/>
          <w:bCs/>
          <w:color w:val="2E5C8A"/>
          <w:sz w:val="22"/>
          <w:szCs w:val="22"/>
        </w:rPr>
        <w:t>Contexte et importance</w:t>
      </w:r>
    </w:p>
    <w:p w14:paraId="547A1B4E" w14:textId="77777777" w:rsidR="005C19F0" w:rsidRDefault="00A9064B">
      <w:pPr>
        <w:spacing w:before="80" w:after="80" w:line="300" w:lineRule="auto"/>
        <w:jc w:val="both"/>
      </w:pPr>
      <w:r>
        <w:t>Cet article est l'acte de naissance officiel du terme RAG, devenu depuis omniprésent dans le domaine. Patrick Lewis, qui dirige aujourd'hui une équipe RAG chez Cohere, a publiquement reconnu avec humour que l'acronyme n'était pas particulièrement élégant et qu'il aurait été mieux pensé s'ils avaient anticipé l'ampleur de la diffusion. À la date de rédaction de ce document, l'article a accumulé plusieurs milliers de citations selon Google Scholar et constitue la référence absolument incontournable de tout travail sur le sujet.</w:t>
      </w:r>
    </w:p>
    <w:p w14:paraId="547A1B4F" w14:textId="77777777" w:rsidR="005C19F0" w:rsidRDefault="00A9064B">
      <w:pPr>
        <w:spacing w:before="80" w:after="80" w:line="300" w:lineRule="auto"/>
        <w:jc w:val="both"/>
      </w:pPr>
      <w:r>
        <w:t>Son importance dépasse largement la communauté NLP académique : NVIDIA, dans son blog officiel sur le RAG, présente l'article comme la fondation conceptuelle de toute la famille de méthodes qui structure aujourd'hui des dizaines de produits commerciaux et des centaines d'articles de recherche. Pour mon mémoire, c'est la source à citer en priorité dès qu'il s'agit de définir formellement ce qu'est un système RAG.</w:t>
      </w:r>
    </w:p>
    <w:p w14:paraId="547A1B50" w14:textId="77777777" w:rsidR="005C19F0" w:rsidRDefault="00A9064B">
      <w:r>
        <w:br w:type="page"/>
      </w:r>
    </w:p>
    <w:p w14:paraId="547A1B51" w14:textId="77777777" w:rsidR="005C19F0" w:rsidRDefault="00A9064B">
      <w:pPr>
        <w:pStyle w:val="Heading2"/>
        <w:pBdr>
          <w:bottom w:val="single" w:sz="8" w:space="4" w:color="1F3864"/>
        </w:pBdr>
        <w:spacing w:before="360" w:after="80"/>
      </w:pPr>
      <w:r>
        <w:rPr>
          <w:b/>
          <w:bCs/>
          <w:color w:val="1F3864"/>
        </w:rPr>
        <w:lastRenderedPageBreak/>
        <w:t>3. Guu et al. (2020) — REALM: Retrieval-Augmented Language Model Pre-Training</w:t>
      </w:r>
    </w:p>
    <w:p w14:paraId="547A1B52" w14:textId="77777777" w:rsidR="005C19F0" w:rsidRDefault="00A9064B">
      <w:pPr>
        <w:spacing w:before="40" w:after="40"/>
      </w:pPr>
      <w:r>
        <w:rPr>
          <w:b/>
          <w:bCs/>
          <w:sz w:val="20"/>
          <w:szCs w:val="20"/>
        </w:rPr>
        <w:t xml:space="preserve">Auteurs : </w:t>
      </w:r>
      <w:r>
        <w:rPr>
          <w:sz w:val="20"/>
          <w:szCs w:val="20"/>
        </w:rPr>
        <w:t>Kelvin Guu, Kenton Lee, Zora Tung, Panupong Pasupat, Ming-Wei Chang</w:t>
      </w:r>
    </w:p>
    <w:p w14:paraId="547A1B53" w14:textId="77777777" w:rsidR="005C19F0" w:rsidRDefault="00A9064B">
      <w:pPr>
        <w:spacing w:before="40" w:after="40"/>
      </w:pPr>
      <w:r>
        <w:rPr>
          <w:b/>
          <w:bCs/>
          <w:sz w:val="20"/>
          <w:szCs w:val="20"/>
        </w:rPr>
        <w:t xml:space="preserve">Affiliation : </w:t>
      </w:r>
      <w:r>
        <w:rPr>
          <w:sz w:val="20"/>
          <w:szCs w:val="20"/>
        </w:rPr>
        <w:t>Google Research</w:t>
      </w:r>
    </w:p>
    <w:p w14:paraId="547A1B54" w14:textId="77777777" w:rsidR="005C19F0" w:rsidRDefault="00A9064B">
      <w:pPr>
        <w:spacing w:before="40" w:after="40"/>
      </w:pPr>
      <w:r>
        <w:rPr>
          <w:b/>
          <w:bCs/>
          <w:sz w:val="20"/>
          <w:szCs w:val="20"/>
        </w:rPr>
        <w:t xml:space="preserve">Publication : </w:t>
      </w:r>
      <w:r>
        <w:rPr>
          <w:sz w:val="20"/>
          <w:szCs w:val="20"/>
        </w:rPr>
        <w:t>ICML 2020 (preprint arXiv:2002.08909, février 2020)</w:t>
      </w:r>
    </w:p>
    <w:p w14:paraId="547A1B55" w14:textId="77777777" w:rsidR="005C19F0" w:rsidRDefault="00A9064B">
      <w:pPr>
        <w:pStyle w:val="Heading3"/>
        <w:spacing w:before="200" w:after="80"/>
      </w:pPr>
      <w:r>
        <w:rPr>
          <w:b/>
          <w:bCs/>
          <w:color w:val="2E5C8A"/>
          <w:sz w:val="22"/>
          <w:szCs w:val="22"/>
        </w:rPr>
        <w:t>Résumé</w:t>
      </w:r>
    </w:p>
    <w:p w14:paraId="547A1B56" w14:textId="77777777" w:rsidR="005C19F0" w:rsidRDefault="00A9064B">
      <w:pPr>
        <w:spacing w:before="80" w:after="80" w:line="300" w:lineRule="auto"/>
        <w:jc w:val="both"/>
      </w:pPr>
      <w:r>
        <w:t>REALM (Retrieval-Augmented Language Model) propose d'augmenter le pré-entraînement d'un modèle de langue avec un retriever neural latent capable de chercher des documents dans un grand corpus comme Wikipédia. La grande nouveauté technique est de pré-entraîner ce retriever de manière non supervisée, en utilisant le masked language modeling comme signal d'apprentissage et en faisant rétropropager le gradient à travers l'étape de retrieval — ce qui implique un défi computationnel considérable puisqu'il faut considérer des millions de documents à chaque étape. Les auteurs démontrent l'efficacité de l'approche par fine-tuning sur la tâche de Open-domain Question Answering, en obtenant un gain absolu de 4 à 16 points de précision par rapport aux meilleures méthodes antérieures sur trois benchmarks (Natural Questions, WebQuestions, CuratedTrec). Ils soulignent également des bénéfices qualitatifs : interprétabilité (on peut inspecter quels documents le modèle a utilisés) et modularité (on peut remplacer l'index sans réentraîner).</w:t>
      </w:r>
    </w:p>
    <w:p w14:paraId="547A1B57" w14:textId="77777777" w:rsidR="005C19F0" w:rsidRDefault="00A9064B">
      <w:pPr>
        <w:pStyle w:val="Heading3"/>
        <w:spacing w:before="200" w:after="80"/>
      </w:pPr>
      <w:r>
        <w:rPr>
          <w:b/>
          <w:bCs/>
          <w:color w:val="2E5C8A"/>
          <w:sz w:val="22"/>
          <w:szCs w:val="22"/>
        </w:rPr>
        <w:t>Contexte et importance</w:t>
      </w:r>
    </w:p>
    <w:p w14:paraId="547A1B58" w14:textId="77777777" w:rsidR="005C19F0" w:rsidRDefault="00A9064B">
      <w:pPr>
        <w:spacing w:before="80" w:after="80" w:line="300" w:lineRule="auto"/>
        <w:jc w:val="both"/>
      </w:pPr>
      <w:r>
        <w:t>REALM précède Lewis et al. de seulement trois mois et constitue un des précurseurs directs de RAG. Là où Lewis se concentre sur le fine-tuning et la génération séquentielle, Guu intègre la récupération dès le pré-entraînement et travaille sur des tâches extractives. Les deux articles partagent l'intuition fondamentale d'une mémoire externe modulable et interprétable. La proximité temporelle s'explique par la maturité technique du moment : les retrievers denses (DPR, ORQA) viennent d'apparaître, et les chercheurs de Google et Facebook explorent en parallèle des angles complémentaires.</w:t>
      </w:r>
    </w:p>
    <w:p w14:paraId="547A1B59" w14:textId="77777777" w:rsidR="005C19F0" w:rsidRDefault="00A9064B">
      <w:pPr>
        <w:spacing w:before="80" w:after="80" w:line="300" w:lineRule="auto"/>
        <w:jc w:val="both"/>
      </w:pPr>
      <w:r>
        <w:t>Pour mon mémoire, REALM mérite d'être cité dans la section qui retrace l'évolution historique du RAG, car il montre que l'idée de combiner LLM et retrieval n'est pas née ex nihilo en 2020 mais s'inscrit dans une trajectoire de recherche plus ancienne (Memory Networks de Weston et al. dès 2014, Dense Passage Retrieval de Karpukhin en 2020, etc.). Lewis et al. citent d'ailleurs explicitement REALM comme un travail apparenté.</w:t>
      </w:r>
    </w:p>
    <w:p w14:paraId="547A1B5A" w14:textId="77777777" w:rsidR="005C19F0" w:rsidRDefault="00A9064B">
      <w:r>
        <w:br w:type="page"/>
      </w:r>
    </w:p>
    <w:p w14:paraId="547A1B5B" w14:textId="77777777" w:rsidR="005C19F0" w:rsidRPr="00076961" w:rsidRDefault="00A9064B">
      <w:pPr>
        <w:pStyle w:val="Heading2"/>
        <w:pBdr>
          <w:bottom w:val="single" w:sz="8" w:space="4" w:color="1F3864"/>
        </w:pBdr>
        <w:spacing w:before="360" w:after="80"/>
        <w:rPr>
          <w:lang w:val="en-US"/>
        </w:rPr>
      </w:pPr>
      <w:r>
        <w:rPr>
          <w:b/>
          <w:bCs/>
          <w:color w:val="1F3864"/>
          <w:lang w:val="en-US"/>
        </w:rPr>
        <w:lastRenderedPageBreak/>
        <w:t>4. Borgeaud et al. (2021) — Improving language models by retrieving from trillions of tokens (RETRO)</w:t>
      </w:r>
    </w:p>
    <w:p w14:paraId="547A1B5C" w14:textId="77777777" w:rsidR="005C19F0" w:rsidRDefault="00A9064B">
      <w:pPr>
        <w:spacing w:before="40" w:after="40"/>
      </w:pPr>
      <w:r>
        <w:rPr>
          <w:b/>
          <w:bCs/>
          <w:sz w:val="20"/>
          <w:szCs w:val="20"/>
          <w:lang w:val="en-US"/>
        </w:rPr>
        <w:t xml:space="preserve">Auteurs : </w:t>
      </w:r>
      <w:r>
        <w:rPr>
          <w:sz w:val="20"/>
          <w:szCs w:val="20"/>
          <w:lang w:val="en-US"/>
        </w:rPr>
        <w:t xml:space="preserve">Sebastian Borgeaud, Arthur Mensch, Jordan Hoffmann, Trevor Cai, Eliza Rutherford et al. </w:t>
      </w:r>
      <w:r>
        <w:rPr>
          <w:sz w:val="20"/>
          <w:szCs w:val="20"/>
        </w:rPr>
        <w:t>(28 auteurs)</w:t>
      </w:r>
    </w:p>
    <w:p w14:paraId="547A1B5D" w14:textId="77777777" w:rsidR="005C19F0" w:rsidRDefault="00A9064B">
      <w:pPr>
        <w:spacing w:before="40" w:after="40"/>
      </w:pPr>
      <w:r>
        <w:rPr>
          <w:b/>
          <w:bCs/>
          <w:sz w:val="20"/>
          <w:szCs w:val="20"/>
        </w:rPr>
        <w:t xml:space="preserve">Affiliation : </w:t>
      </w:r>
      <w:r>
        <w:rPr>
          <w:sz w:val="20"/>
          <w:szCs w:val="20"/>
        </w:rPr>
        <w:t>DeepMind (Google)</w:t>
      </w:r>
    </w:p>
    <w:p w14:paraId="547A1B5E" w14:textId="77777777" w:rsidR="005C19F0" w:rsidRDefault="00A9064B">
      <w:pPr>
        <w:spacing w:before="40" w:after="40"/>
      </w:pPr>
      <w:r>
        <w:rPr>
          <w:b/>
          <w:bCs/>
          <w:sz w:val="20"/>
          <w:szCs w:val="20"/>
        </w:rPr>
        <w:t xml:space="preserve">Publication : </w:t>
      </w:r>
      <w:r>
        <w:rPr>
          <w:sz w:val="20"/>
          <w:szCs w:val="20"/>
        </w:rPr>
        <w:t>ICML 2022 (preprint arXiv:2112.04426, décembre 2021)</w:t>
      </w:r>
    </w:p>
    <w:p w14:paraId="547A1B5F" w14:textId="77777777" w:rsidR="005C19F0" w:rsidRDefault="00A9064B">
      <w:pPr>
        <w:pStyle w:val="Heading3"/>
        <w:spacing w:before="200" w:after="80"/>
      </w:pPr>
      <w:r>
        <w:rPr>
          <w:b/>
          <w:bCs/>
          <w:color w:val="2E5C8A"/>
          <w:sz w:val="22"/>
          <w:szCs w:val="22"/>
        </w:rPr>
        <w:t>Résumé</w:t>
      </w:r>
    </w:p>
    <w:p w14:paraId="547A1B60" w14:textId="77777777" w:rsidR="005C19F0" w:rsidRDefault="00A9064B">
      <w:pPr>
        <w:spacing w:before="80" w:after="80" w:line="300" w:lineRule="auto"/>
        <w:jc w:val="both"/>
      </w:pPr>
      <w:r>
        <w:t>RETRO (Retrieval-Enhanced Transformer) est un modèle de langue auto-régressif qui conditionne sa génération sur des chunks de documents récupérés depuis un corpus de 2 000 milliards de tokens — ce qui correspond, selon les auteurs, à 175 vies humaines de lecture continue. L'architecture repose sur trois éléments : un retriever BERT figé, un encodeur différentiable, et un mécanisme de chunked cross-attention qui permet d'intégrer les passages récupérés dans la prédiction du token courant. Le résultat est frappant : RETRO obtient des performances comparables à GPT-3 et Jurassic-1 sur le benchmark Pile, alors qu'il utilise 25 fois moins de paramètres. Les auteurs montrent aussi qu'on peut RETROfit des transformers pré-entraînés (les transformer en RETRO a posteriori) et obtenir de bons résultats rapidement.</w:t>
      </w:r>
    </w:p>
    <w:p w14:paraId="547A1B61" w14:textId="77777777" w:rsidR="005C19F0" w:rsidRDefault="00A9064B">
      <w:pPr>
        <w:pStyle w:val="Heading3"/>
        <w:spacing w:before="200" w:after="80"/>
      </w:pPr>
      <w:r>
        <w:rPr>
          <w:b/>
          <w:bCs/>
          <w:color w:val="2E5C8A"/>
          <w:sz w:val="22"/>
          <w:szCs w:val="22"/>
        </w:rPr>
        <w:t>Contexte et importance</w:t>
      </w:r>
    </w:p>
    <w:p w14:paraId="547A1B62" w14:textId="77777777" w:rsidR="005C19F0" w:rsidRDefault="00A9064B">
      <w:pPr>
        <w:spacing w:before="80" w:after="80" w:line="300" w:lineRule="auto"/>
        <w:jc w:val="both"/>
      </w:pPr>
      <w:r>
        <w:t>RETRO est l'un des articles fondamentaux qui a démontré que le retrieval pouvait remplacer une part significative des paramètres d'un modèle. Là où GPT-3 stocke implicitement la connaissance dans ses 175 milliards de paramètres, RETRO laisse 25 fois moins de connaissances dans les paramètres et compense en allant les chercher dans une base externe. Cette idée — découpler les paramètres de la mémoire — est centrale pour comprendre pourquoi le RAG est devenu une stratégie dominante : il permet d'obtenir des modèles plus petits, moins coûteux, et plus facilement mis à jour.</w:t>
      </w:r>
    </w:p>
    <w:p w14:paraId="547A1B63" w14:textId="77777777" w:rsidR="005C19F0" w:rsidRDefault="00A9064B">
      <w:pPr>
        <w:spacing w:before="80" w:after="80" w:line="300" w:lineRule="auto"/>
        <w:jc w:val="both"/>
      </w:pPr>
      <w:r>
        <w:t>Dans le cadre de mon TB, RETRO illustre parfaitement un argument que je vais avoir besoin de défendre : on n'est pas obligé d'utiliser des LLMs gigantesques pour avoir des résultats de qualité, à condition d'avoir un bon retrieval. C'est exactement l'esprit de ge-trouve.ch, qui doit fonctionner avec des modèles de taille raisonnable sur un VPS Infomaniak.</w:t>
      </w:r>
    </w:p>
    <w:p w14:paraId="547A1B64" w14:textId="77777777" w:rsidR="005C19F0" w:rsidRDefault="00A9064B">
      <w:r>
        <w:br w:type="page"/>
      </w:r>
    </w:p>
    <w:p w14:paraId="547A1B65" w14:textId="77777777" w:rsidR="005C19F0" w:rsidRPr="00076961" w:rsidRDefault="00A9064B">
      <w:pPr>
        <w:pStyle w:val="Heading2"/>
        <w:pBdr>
          <w:bottom w:val="single" w:sz="8" w:space="4" w:color="1F3864"/>
        </w:pBdr>
        <w:spacing w:before="360" w:after="80"/>
        <w:rPr>
          <w:lang w:val="en-US"/>
        </w:rPr>
      </w:pPr>
      <w:r>
        <w:rPr>
          <w:b/>
          <w:bCs/>
          <w:color w:val="1F3864"/>
          <w:lang w:val="en-US"/>
        </w:rPr>
        <w:lastRenderedPageBreak/>
        <w:t>5. Ji et al. (2022) — Survey of Hallucination in Natural Language Generation</w:t>
      </w:r>
    </w:p>
    <w:p w14:paraId="547A1B66" w14:textId="77777777" w:rsidR="005C19F0" w:rsidRPr="00076961" w:rsidRDefault="00A9064B">
      <w:pPr>
        <w:spacing w:before="40" w:after="40"/>
        <w:rPr>
          <w:lang w:val="en-US"/>
        </w:rPr>
      </w:pPr>
      <w:r>
        <w:rPr>
          <w:b/>
          <w:bCs/>
          <w:sz w:val="20"/>
          <w:szCs w:val="20"/>
          <w:lang w:val="en-US"/>
        </w:rPr>
        <w:t xml:space="preserve">Auteurs : </w:t>
      </w:r>
      <w:r>
        <w:rPr>
          <w:sz w:val="20"/>
          <w:szCs w:val="20"/>
          <w:lang w:val="en-US"/>
        </w:rPr>
        <w:t>Ziwei Ji, Nayeon Lee, Rita Frieske, Tiezheng Yu, Dan Su, Yan Xu, Etsuko Ishii, Yejin Bang, Andrea Madotto, Pascale Fung et al.</w:t>
      </w:r>
    </w:p>
    <w:p w14:paraId="547A1B67" w14:textId="77777777" w:rsidR="005C19F0" w:rsidRPr="00076961" w:rsidRDefault="00A9064B">
      <w:pPr>
        <w:spacing w:before="40" w:after="40"/>
        <w:rPr>
          <w:lang w:val="en-US"/>
        </w:rPr>
      </w:pPr>
      <w:r>
        <w:rPr>
          <w:b/>
          <w:bCs/>
          <w:sz w:val="20"/>
          <w:szCs w:val="20"/>
          <w:lang w:val="en-US"/>
        </w:rPr>
        <w:t xml:space="preserve">Affiliation : </w:t>
      </w:r>
      <w:r>
        <w:rPr>
          <w:sz w:val="20"/>
          <w:szCs w:val="20"/>
          <w:lang w:val="en-US"/>
        </w:rPr>
        <w:t>Center for AI Research (CAiRE), Hong Kong University of Science and Technology</w:t>
      </w:r>
    </w:p>
    <w:p w14:paraId="547A1B68" w14:textId="77777777" w:rsidR="005C19F0" w:rsidRDefault="00A9064B">
      <w:pPr>
        <w:spacing w:before="40" w:after="40"/>
      </w:pPr>
      <w:r>
        <w:rPr>
          <w:b/>
          <w:bCs/>
          <w:sz w:val="20"/>
          <w:szCs w:val="20"/>
        </w:rPr>
        <w:t xml:space="preserve">Publication : </w:t>
      </w:r>
      <w:r>
        <w:rPr>
          <w:sz w:val="20"/>
          <w:szCs w:val="20"/>
        </w:rPr>
        <w:t>ACM Computing Surveys, vol. 55, no 12, mars 2023 (preprint arXiv:2202.03629, février 2022)</w:t>
      </w:r>
    </w:p>
    <w:p w14:paraId="547A1B69" w14:textId="77777777" w:rsidR="005C19F0" w:rsidRDefault="00A9064B">
      <w:pPr>
        <w:spacing w:before="40" w:after="40"/>
      </w:pPr>
      <w:r>
        <w:rPr>
          <w:b/>
          <w:bCs/>
          <w:sz w:val="20"/>
          <w:szCs w:val="20"/>
        </w:rPr>
        <w:t xml:space="preserve">DOI : </w:t>
      </w:r>
      <w:r>
        <w:rPr>
          <w:sz w:val="20"/>
          <w:szCs w:val="20"/>
        </w:rPr>
        <w:t>10.1145/3571730</w:t>
      </w:r>
    </w:p>
    <w:p w14:paraId="547A1B6A" w14:textId="77777777" w:rsidR="005C19F0" w:rsidRDefault="00A9064B">
      <w:pPr>
        <w:pStyle w:val="Heading3"/>
        <w:spacing w:before="200" w:after="80"/>
      </w:pPr>
      <w:r>
        <w:rPr>
          <w:b/>
          <w:bCs/>
          <w:color w:val="2E5C8A"/>
          <w:sz w:val="22"/>
          <w:szCs w:val="22"/>
        </w:rPr>
        <w:t>Résumé</w:t>
      </w:r>
    </w:p>
    <w:p w14:paraId="547A1B6B" w14:textId="77777777" w:rsidR="005C19F0" w:rsidRDefault="00A9064B">
      <w:pPr>
        <w:spacing w:before="80" w:after="80" w:line="300" w:lineRule="auto"/>
        <w:jc w:val="both"/>
      </w:pPr>
      <w:r>
        <w:t>Cette survey est la référence majeure sur le phénomène d'hallucination dans la génération de texte par les modèles de langue. Les auteurs définissent d'abord rigoureusement le concept : une hallucination est une génération qui paraît fluide et cohérente mais qui est en réalité non fidèle au contenu source ou complètement inventée. Ils distinguent deux catégories fondamentales — les hallucinations intrinsèques (qui contredisent directement la source) et les hallucinations extrinsèques (qu'on ne peut ni vérifier ni infirmer à partir de la source). La survey passe ensuite en revue les causes des hallucinations (qualité des données d'entraînement, divergences source-référence, biais d'inférence) et les méthodes de mesure (métriques statistiques comme ROUGE, métriques basées modèle, évaluation humaine) avant de couvrir les méthodes de mitigation. La seconde partie de l'article applique cette grille d'analyse à six tâches NLG spécifiques : résumé abstrait, dialogue, question-réponse génératif, data-to-text, traduction automatique et génération vision-langage. Une section ajoutée en 2024 traite spécifiquement des hallucinations dans les LLMs modernes.</w:t>
      </w:r>
    </w:p>
    <w:p w14:paraId="547A1B6C" w14:textId="77777777" w:rsidR="005C19F0" w:rsidRDefault="00A9064B">
      <w:pPr>
        <w:pStyle w:val="Heading3"/>
        <w:spacing w:before="200" w:after="80"/>
      </w:pPr>
      <w:r>
        <w:rPr>
          <w:b/>
          <w:bCs/>
          <w:color w:val="2E5C8A"/>
          <w:sz w:val="22"/>
          <w:szCs w:val="22"/>
        </w:rPr>
        <w:t>Contexte et importance</w:t>
      </w:r>
    </w:p>
    <w:p w14:paraId="547A1B6D" w14:textId="77777777" w:rsidR="005C19F0" w:rsidRDefault="00A9064B">
      <w:pPr>
        <w:spacing w:before="80" w:after="80" w:line="300" w:lineRule="auto"/>
        <w:jc w:val="both"/>
      </w:pPr>
      <w:r>
        <w:t>Selon le profil GitHub de Ziwei Ji (HKUST), cette survey a accumulé plus de 2 100 citations et figure parmi les références les plus citées du domaine. C'est elle qui a structuré le vocabulaire utilisé aujourd'hui pour décrire les hallucinations — la distinction intrinsèque/extrinsèque et le concept de « faithfulness » sont devenus des standards dans la communauté.</w:t>
      </w:r>
    </w:p>
    <w:p w14:paraId="547A1B6E" w14:textId="77777777" w:rsidR="005C19F0" w:rsidRDefault="00A9064B">
      <w:pPr>
        <w:spacing w:before="80" w:after="80" w:line="300" w:lineRule="auto"/>
        <w:jc w:val="both"/>
      </w:pPr>
      <w:r>
        <w:t>Pour ma section 1.1 (les limites des LLMs sans RAG), c'est la source incontournable. Elle me permet de poser le problème de manière rigoureuse et académiquement défendable, plutôt que de simplement dire « les LLMs hallucinent ». Le fait que la survey soit publiée dans ACM Computing Surveys, qui est l'une des revues les plus exigeantes pour ce type de publication, lui donne un poids supplémentaire.</w:t>
      </w:r>
    </w:p>
    <w:p w14:paraId="547A1B6F" w14:textId="77777777" w:rsidR="005C19F0" w:rsidRDefault="00A9064B">
      <w:r>
        <w:br w:type="page"/>
      </w:r>
    </w:p>
    <w:p w14:paraId="547A1B70" w14:textId="77777777" w:rsidR="005C19F0" w:rsidRDefault="00A9064B">
      <w:pPr>
        <w:pStyle w:val="Heading2"/>
        <w:pBdr>
          <w:bottom w:val="single" w:sz="8" w:space="4" w:color="1F3864"/>
        </w:pBdr>
        <w:spacing w:before="360" w:after="80"/>
      </w:pPr>
      <w:r>
        <w:rPr>
          <w:b/>
          <w:bCs/>
          <w:color w:val="1F3864"/>
        </w:rPr>
        <w:lastRenderedPageBreak/>
        <w:t>6. Gao et al. (2024) — Retrieval-Augmented Generation for Large Language Models: A Survey</w:t>
      </w:r>
    </w:p>
    <w:p w14:paraId="547A1B71" w14:textId="77777777" w:rsidR="005C19F0" w:rsidRDefault="00A9064B">
      <w:pPr>
        <w:spacing w:before="40" w:after="40"/>
      </w:pPr>
      <w:r>
        <w:rPr>
          <w:b/>
          <w:bCs/>
          <w:sz w:val="20"/>
          <w:szCs w:val="20"/>
        </w:rPr>
        <w:t xml:space="preserve">Auteurs : </w:t>
      </w:r>
      <w:r>
        <w:rPr>
          <w:sz w:val="20"/>
          <w:szCs w:val="20"/>
        </w:rPr>
        <w:t>Yunfan Gao, Yun Xiong, Xinyu Gao, Kangxiang Jia, Jinliu Pan, Yuxi Bi, Yi Dai, Jiawei Sun, Meng Wang, Haofen Wang</w:t>
      </w:r>
    </w:p>
    <w:p w14:paraId="547A1B72" w14:textId="77777777" w:rsidR="005C19F0" w:rsidRPr="00076961" w:rsidRDefault="00A9064B">
      <w:pPr>
        <w:spacing w:before="40" w:after="40"/>
        <w:rPr>
          <w:lang w:val="en-US"/>
        </w:rPr>
      </w:pPr>
      <w:r>
        <w:rPr>
          <w:b/>
          <w:bCs/>
          <w:sz w:val="20"/>
          <w:szCs w:val="20"/>
          <w:lang w:val="en-US"/>
        </w:rPr>
        <w:t xml:space="preserve">Affiliations : </w:t>
      </w:r>
      <w:r>
        <w:rPr>
          <w:sz w:val="20"/>
          <w:szCs w:val="20"/>
          <w:lang w:val="en-US"/>
        </w:rPr>
        <w:t>Tongji University (Shanghai Research Institute for Intelligent Autonomous Systems, College of Design and Innovation), Fudan University (Shanghai Key Laboratory of Data Science)</w:t>
      </w:r>
    </w:p>
    <w:p w14:paraId="547A1B73" w14:textId="77777777" w:rsidR="005C19F0" w:rsidRDefault="00A9064B">
      <w:pPr>
        <w:spacing w:before="40" w:after="40"/>
      </w:pPr>
      <w:r>
        <w:rPr>
          <w:b/>
          <w:bCs/>
          <w:sz w:val="20"/>
          <w:szCs w:val="20"/>
        </w:rPr>
        <w:t xml:space="preserve">Publication : </w:t>
      </w:r>
      <w:r>
        <w:rPr>
          <w:sz w:val="20"/>
          <w:szCs w:val="20"/>
        </w:rPr>
        <w:t>Preprint arXiv:2312.10997 (décembre 2023, dernière version mars 2024)</w:t>
      </w:r>
    </w:p>
    <w:p w14:paraId="547A1B74" w14:textId="77777777" w:rsidR="005C19F0" w:rsidRDefault="00A9064B">
      <w:pPr>
        <w:spacing w:before="40" w:after="40"/>
      </w:pPr>
      <w:r>
        <w:rPr>
          <w:b/>
          <w:bCs/>
          <w:sz w:val="20"/>
          <w:szCs w:val="20"/>
        </w:rPr>
        <w:t xml:space="preserve">DOI : </w:t>
      </w:r>
      <w:r>
        <w:rPr>
          <w:sz w:val="20"/>
          <w:szCs w:val="20"/>
        </w:rPr>
        <w:t>10.48550/arXiv.2312.10997</w:t>
      </w:r>
    </w:p>
    <w:p w14:paraId="547A1B75" w14:textId="77777777" w:rsidR="005C19F0" w:rsidRDefault="00A9064B">
      <w:pPr>
        <w:pStyle w:val="Heading3"/>
        <w:spacing w:before="200" w:after="80"/>
      </w:pPr>
      <w:r>
        <w:rPr>
          <w:b/>
          <w:bCs/>
          <w:color w:val="2E5C8A"/>
          <w:sz w:val="22"/>
          <w:szCs w:val="22"/>
        </w:rPr>
        <w:t>Résumé</w:t>
      </w:r>
    </w:p>
    <w:p w14:paraId="547A1B76" w14:textId="77777777" w:rsidR="005C19F0" w:rsidRDefault="00A9064B">
      <w:pPr>
        <w:spacing w:before="80" w:after="80" w:line="300" w:lineRule="auto"/>
        <w:jc w:val="both"/>
      </w:pPr>
      <w:r>
        <w:t>Ce survey est devenu en moins de deux ans la référence standard pour comprendre le paysage RAG. Les auteurs synthétisent plus de cent études et structurent le domaine autour de trois paradigmes successifs : Naive RAG (le « Retrieve-Read » basique : indexer, récupérer, générer), Advanced RAG (qui ajoute des optimisations pré-retrieval comme la réécriture de requête et post-retrieval comme le re-ranking, tout en gardant une structure linéaire), et Modular RAG (qui introduit des modules spécialisés interchangeables — Search, Memory, Routing, Predict, Task Adapter — et autorise des flux non séquentiels comme l'itératif ou l'adaptatif). L'article décortique ensuite les trois piliers techniques de tout RAG : le retrieval (sources, granularité, embeddings, fine-tuning des retrievers), la génération (post-traitement du contexte, fine-tuning des générateurs) et l'augmentation (étapes, sources et processus). Une partie significative est consacrée à l'évaluation : les auteurs recensent 26 tâches en aval, près de 50 datasets, et passent en revue les métriques et benchmarks existants. La conclusion identifie les défis actuels (qualité du retrieval, intégration de connaissances multimodales, robustesse) et les directions futures.</w:t>
      </w:r>
    </w:p>
    <w:p w14:paraId="547A1B77" w14:textId="77777777" w:rsidR="005C19F0" w:rsidRDefault="00A9064B">
      <w:pPr>
        <w:pStyle w:val="Heading3"/>
        <w:spacing w:before="200" w:after="80"/>
      </w:pPr>
      <w:r>
        <w:rPr>
          <w:b/>
          <w:bCs/>
          <w:color w:val="2E5C8A"/>
          <w:sz w:val="22"/>
          <w:szCs w:val="22"/>
        </w:rPr>
        <w:t>Contexte et importance</w:t>
      </w:r>
    </w:p>
    <w:p w14:paraId="547A1B78" w14:textId="77777777" w:rsidR="005C19F0" w:rsidRDefault="00A9064B">
      <w:pPr>
        <w:spacing w:before="80" w:after="80" w:line="300" w:lineRule="auto"/>
        <w:jc w:val="both"/>
      </w:pPr>
      <w:r>
        <w:t>Selon Semantic Scholar, l'article cumule plus de 2 600 citations à ce jour et est massivement repris dans toute la littérature subséquente sur le RAG. Le code et les ressources associées sont disponibles sur le GitHub de l'équipe (Tongji-KGLLM/RAG-Survey), avec un projet OpenRAG Base qui fonctionne comme une base de connaissances vivante du domaine. C'est cette équipe qui a popularisé la triple distinction Naive/Advanced/Modular qui est aujourd'hui omniprésente dans les présentations et tutoriels sur le sujet.</w:t>
      </w:r>
    </w:p>
    <w:p w14:paraId="547A1B79" w14:textId="77777777" w:rsidR="005C19F0" w:rsidRDefault="00A9064B">
      <w:pPr>
        <w:spacing w:before="80" w:after="80" w:line="300" w:lineRule="auto"/>
        <w:jc w:val="both"/>
      </w:pPr>
      <w:r>
        <w:t>Pour mon mémoire, ce survey est la colonne vertébrale du Chapitre 1. Il me donne la grille de lecture, le vocabulaire et la structure pour présenter l'évolution du RAG. Plusieurs des choix techniques que je devrai justifier dans les chapitres suivants (chunking, embeddings, re-ranking, hybrid retrieval) y sont déjà discutés, ce qui me permet de m'appuyer sur un cadre académique solide.</w:t>
      </w:r>
    </w:p>
    <w:p w14:paraId="547A1B7A" w14:textId="77777777" w:rsidR="005C19F0" w:rsidRDefault="00A9064B">
      <w:r>
        <w:br w:type="page"/>
      </w:r>
    </w:p>
    <w:p w14:paraId="547A1B7B" w14:textId="77777777" w:rsidR="005C19F0" w:rsidRPr="00076961" w:rsidRDefault="00A9064B">
      <w:pPr>
        <w:pStyle w:val="Heading2"/>
        <w:pBdr>
          <w:bottom w:val="single" w:sz="8" w:space="4" w:color="1F3864"/>
        </w:pBdr>
        <w:spacing w:before="360" w:after="80"/>
        <w:rPr>
          <w:lang w:val="en-US"/>
        </w:rPr>
      </w:pPr>
      <w:r>
        <w:rPr>
          <w:b/>
          <w:bCs/>
          <w:color w:val="1F3864"/>
          <w:lang w:val="en-US"/>
        </w:rPr>
        <w:lastRenderedPageBreak/>
        <w:t>7. Es et al. (2024) — RAGAS: Automated Evaluation of Retrieval Augmented Generation</w:t>
      </w:r>
    </w:p>
    <w:p w14:paraId="547A1B7C" w14:textId="77777777" w:rsidR="005C19F0" w:rsidRPr="00076961" w:rsidRDefault="00A9064B">
      <w:pPr>
        <w:spacing w:before="40" w:after="40"/>
        <w:rPr>
          <w:lang w:val="en-US"/>
        </w:rPr>
      </w:pPr>
      <w:r>
        <w:rPr>
          <w:b/>
          <w:bCs/>
          <w:sz w:val="20"/>
          <w:szCs w:val="20"/>
          <w:lang w:val="en-US"/>
        </w:rPr>
        <w:t xml:space="preserve">Auteurs : </w:t>
      </w:r>
      <w:r>
        <w:rPr>
          <w:sz w:val="20"/>
          <w:szCs w:val="20"/>
          <w:lang w:val="en-US"/>
        </w:rPr>
        <w:t>Shahul Es, Jithin James, Luis Espinosa-Anke, Steven Schockaert</w:t>
      </w:r>
    </w:p>
    <w:p w14:paraId="547A1B7D" w14:textId="77777777" w:rsidR="005C19F0" w:rsidRPr="00076961" w:rsidRDefault="00A9064B">
      <w:pPr>
        <w:spacing w:before="40" w:after="40"/>
        <w:rPr>
          <w:lang w:val="en-US"/>
        </w:rPr>
      </w:pPr>
      <w:r>
        <w:rPr>
          <w:b/>
          <w:bCs/>
          <w:sz w:val="20"/>
          <w:szCs w:val="20"/>
          <w:lang w:val="en-US"/>
        </w:rPr>
        <w:t xml:space="preserve">Affiliations : </w:t>
      </w:r>
      <w:r>
        <w:rPr>
          <w:sz w:val="20"/>
          <w:szCs w:val="20"/>
          <w:lang w:val="en-US"/>
        </w:rPr>
        <w:t>Exploding Gradients (startup), CardiffNLP - Cardiff University, AMPLYFI</w:t>
      </w:r>
    </w:p>
    <w:p w14:paraId="547A1B7E" w14:textId="77777777" w:rsidR="005C19F0" w:rsidRDefault="00A9064B">
      <w:pPr>
        <w:spacing w:before="40" w:after="40"/>
      </w:pPr>
      <w:r>
        <w:rPr>
          <w:b/>
          <w:bCs/>
          <w:sz w:val="20"/>
          <w:szCs w:val="20"/>
        </w:rPr>
        <w:t xml:space="preserve">Publication : </w:t>
      </w:r>
      <w:r>
        <w:rPr>
          <w:sz w:val="20"/>
          <w:szCs w:val="20"/>
        </w:rPr>
        <w:t>EACL 2024 - System Demonstrations (preprint arXiv:2309.15217, septembre 2023)</w:t>
      </w:r>
    </w:p>
    <w:p w14:paraId="547A1B7F" w14:textId="77777777" w:rsidR="005C19F0" w:rsidRDefault="00A9064B">
      <w:pPr>
        <w:spacing w:before="40" w:after="40"/>
      </w:pPr>
      <w:r>
        <w:rPr>
          <w:b/>
          <w:bCs/>
          <w:sz w:val="20"/>
          <w:szCs w:val="20"/>
        </w:rPr>
        <w:t xml:space="preserve">DOI : </w:t>
      </w:r>
      <w:r>
        <w:rPr>
          <w:sz w:val="20"/>
          <w:szCs w:val="20"/>
        </w:rPr>
        <w:t>10.18653/v1/2024.eacl-demo.16</w:t>
      </w:r>
    </w:p>
    <w:p w14:paraId="547A1B80" w14:textId="77777777" w:rsidR="005C19F0" w:rsidRDefault="00A9064B">
      <w:pPr>
        <w:pStyle w:val="Heading3"/>
        <w:spacing w:before="200" w:after="80"/>
      </w:pPr>
      <w:r>
        <w:rPr>
          <w:b/>
          <w:bCs/>
          <w:color w:val="2E5C8A"/>
          <w:sz w:val="22"/>
          <w:szCs w:val="22"/>
        </w:rPr>
        <w:t>Résumé</w:t>
      </w:r>
    </w:p>
    <w:p w14:paraId="547A1B81" w14:textId="77777777" w:rsidR="005C19F0" w:rsidRDefault="00A9064B">
      <w:pPr>
        <w:spacing w:before="80" w:after="80" w:line="300" w:lineRule="auto"/>
        <w:jc w:val="both"/>
      </w:pPr>
      <w:r>
        <w:t>Les auteurs proposent RAGAS, un framework d'évaluation automatique de pipelines RAG qui ne nécessite pas d'annotations humaines de référence (reference-free). Le constat initial est simple : évaluer un RAG est intrinsèquement multi-dimensionnel — il faut juger à la fois la pertinence du contexte récupéré, la fidélité du générateur à ce contexte, et la qualité de la réponse vis-à-vis de la question posée. Les approches classiques (perplexité, datasets QA à réponses extractives courtes) sont mal adaptées. RAGAS introduit donc trois métriques principales calculées en utilisant un LLM comme juge. Faithfulness : la réponse est-elle effectivement déductible du contexte fourni ? Le système décompose la réponse en affirmations atomiques et vérifie chacune contre le contexte. Answer Relevance : la réponse adresse-t-elle bien la question posée, sans information redondante ni manquante ? On génère des questions à partir de la réponse et on mesure leur similarité sémantique avec la question d'origine. Context Relevance : le contexte récupéré est-il focalisé et exempt d'informations inutiles ? Le framework s'intègre nativement avec LangChain et LlamaIndex, les deux frameworks les plus utilisés pour construire des RAG.</w:t>
      </w:r>
    </w:p>
    <w:p w14:paraId="547A1B82" w14:textId="77777777" w:rsidR="005C19F0" w:rsidRDefault="00A9064B">
      <w:pPr>
        <w:pStyle w:val="Heading3"/>
        <w:spacing w:before="200" w:after="80"/>
      </w:pPr>
      <w:r>
        <w:rPr>
          <w:b/>
          <w:bCs/>
          <w:color w:val="2E5C8A"/>
          <w:sz w:val="22"/>
          <w:szCs w:val="22"/>
        </w:rPr>
        <w:t>Contexte et importance</w:t>
      </w:r>
    </w:p>
    <w:p w14:paraId="547A1B83" w14:textId="77777777" w:rsidR="005C19F0" w:rsidRDefault="00A9064B">
      <w:pPr>
        <w:spacing w:before="80" w:after="80" w:line="300" w:lineRule="auto"/>
        <w:jc w:val="both"/>
      </w:pPr>
      <w:r>
        <w:t>RAGAS est devenu en moins d'un an le standard de facto pour évaluer un RAG en milieu professionnel. Selon les chiffres rapportés par Y Combinator en 2024, le framework traite plus de 5 millions d'évaluations par mois. La communauté open-source compte plus de 80 contributeurs et 1 300 membres sur Discord. Il est intégré dans toutes les grandes plateformes d'observabilité LLM (LangSmith, Langfuse, Arize Phoenix, MLflow). Cette adoption massive en fait un choix naturel pour ma Partie 3 (Évaluation), d'autant qu'il est explicitement mentionné dans ma proposition de TB validée.</w:t>
      </w:r>
    </w:p>
    <w:p w14:paraId="547A1B84" w14:textId="77777777" w:rsidR="005C19F0" w:rsidRDefault="00A9064B">
      <w:pPr>
        <w:spacing w:before="80" w:after="80" w:line="300" w:lineRule="auto"/>
        <w:jc w:val="both"/>
      </w:pPr>
      <w:r>
        <w:t>Sur le plan académique, l'article a été accepté à EACL 2024 dans la session System Demonstrations, ce qui en fait un travail à mi-chemin entre la recherche et l'outil pratique. C'est précisément le profil qui colle bien à un Travail de Bachelor : académiquement crédible mais immédiatement utilisable.</w:t>
      </w:r>
    </w:p>
    <w:p w14:paraId="547A1B85" w14:textId="77777777" w:rsidR="005C19F0" w:rsidRDefault="00A9064B">
      <w:r>
        <w:br w:type="page"/>
      </w:r>
    </w:p>
    <w:p w14:paraId="547A1B86" w14:textId="77777777" w:rsidR="005C19F0" w:rsidRPr="00076961" w:rsidRDefault="00A9064B">
      <w:pPr>
        <w:pStyle w:val="Heading2"/>
        <w:pBdr>
          <w:bottom w:val="single" w:sz="8" w:space="4" w:color="1F3864"/>
        </w:pBdr>
        <w:spacing w:before="360" w:after="80"/>
        <w:rPr>
          <w:lang w:val="en-US"/>
        </w:rPr>
      </w:pPr>
      <w:r>
        <w:rPr>
          <w:b/>
          <w:bCs/>
          <w:color w:val="1F3864"/>
          <w:lang w:val="en-US"/>
        </w:rPr>
        <w:lastRenderedPageBreak/>
        <w:t>8. Sharma (2025) — RAG: A Comprehensive Survey of Architectures, Enhancements, and Robustness Frontiers</w:t>
      </w:r>
    </w:p>
    <w:p w14:paraId="547A1B87" w14:textId="77777777" w:rsidR="005C19F0" w:rsidRDefault="00A9064B">
      <w:pPr>
        <w:spacing w:before="40" w:after="40"/>
      </w:pPr>
      <w:r>
        <w:rPr>
          <w:b/>
          <w:bCs/>
          <w:sz w:val="20"/>
          <w:szCs w:val="20"/>
        </w:rPr>
        <w:t xml:space="preserve">Auteur : </w:t>
      </w:r>
      <w:r>
        <w:rPr>
          <w:sz w:val="20"/>
          <w:szCs w:val="20"/>
        </w:rPr>
        <w:t>Chaitanya Sharma (chercheur indépendant, États-Unis)</w:t>
      </w:r>
    </w:p>
    <w:p w14:paraId="547A1B88" w14:textId="77777777" w:rsidR="005C19F0" w:rsidRDefault="00A9064B">
      <w:pPr>
        <w:spacing w:before="40" w:after="40"/>
      </w:pPr>
      <w:r>
        <w:rPr>
          <w:b/>
          <w:bCs/>
          <w:sz w:val="20"/>
          <w:szCs w:val="20"/>
        </w:rPr>
        <w:t xml:space="preserve">Publication : </w:t>
      </w:r>
      <w:r>
        <w:rPr>
          <w:sz w:val="20"/>
          <w:szCs w:val="20"/>
        </w:rPr>
        <w:t>Preprint arXiv:2506.00054 (mai 2025), soumis à ACM Transactions on Information Systems</w:t>
      </w:r>
    </w:p>
    <w:p w14:paraId="547A1B89" w14:textId="77777777" w:rsidR="005C19F0" w:rsidRDefault="00A9064B">
      <w:pPr>
        <w:pStyle w:val="Heading3"/>
        <w:spacing w:before="200" w:after="80"/>
      </w:pPr>
      <w:r>
        <w:rPr>
          <w:b/>
          <w:bCs/>
          <w:color w:val="2E5C8A"/>
          <w:sz w:val="22"/>
          <w:szCs w:val="22"/>
        </w:rPr>
        <w:t>Résumé</w:t>
      </w:r>
    </w:p>
    <w:p w14:paraId="547A1B8A" w14:textId="77777777" w:rsidR="005C19F0" w:rsidRDefault="00A9064B">
      <w:pPr>
        <w:spacing w:before="80" w:after="80" w:line="300" w:lineRule="auto"/>
        <w:jc w:val="both"/>
      </w:pPr>
      <w:r>
        <w:t>Ce survey récent prend le relais de Gao et al. (2024) en se concentrant sur les évolutions de la deuxième génération de systèmes RAG. L'auteur propose une taxonomie originale qui catégorise les architectures selon le lieu d'innovation : retriever-centric (où l'effort porte sur le retrieval), generator-centric (où on optimise la génération), hybrid (équilibre des deux), et robustness-oriented (résistance aux entrées bruitées ou adversariales). Le formalisme mathématique du RAG est posé clairement (P(y|x) = somme sur d de P(y|x,d) × P(d|x)), puis l'article passe en revue les améliorations dans quatre dimensions : optimisation du retrieval (query reformulation, expansion, hypothetical document embeddings), filtrage du contexte (re-ranking, compression), contrôle du décodage, et amélioration de l'efficacité. Les benchmarks évalués couvrent à la fois des tâches QA courtes et du raisonnement multi-hop. L'auteur identifie des trade-offs récurrents : précision du retrieval contre flexibilité de la génération, efficacité contre fidélité, modularité contre coordination.</w:t>
      </w:r>
    </w:p>
    <w:p w14:paraId="547A1B8B" w14:textId="77777777" w:rsidR="005C19F0" w:rsidRDefault="00A9064B">
      <w:pPr>
        <w:pStyle w:val="Heading3"/>
        <w:spacing w:before="200" w:after="80"/>
      </w:pPr>
      <w:r>
        <w:rPr>
          <w:b/>
          <w:bCs/>
          <w:color w:val="2E5C8A"/>
          <w:sz w:val="22"/>
          <w:szCs w:val="22"/>
        </w:rPr>
        <w:t>Contexte et importance</w:t>
      </w:r>
    </w:p>
    <w:p w14:paraId="547A1B8C" w14:textId="77777777" w:rsidR="005C19F0" w:rsidRDefault="00A9064B">
      <w:pPr>
        <w:spacing w:before="80" w:after="80" w:line="300" w:lineRule="auto"/>
        <w:jc w:val="both"/>
      </w:pPr>
      <w:r>
        <w:t>Sharma 2025 est la publication la plus récente de la sélection et apporte un regard sur ce qui s'est passé après le survey de Gao. Cela inclut notamment les évolutions sur la robustesse face aux attaques par injection ou par documents empoisonnés, qui sont des préoccupations très réelles pour un service public comme ge-trouve.ch. L'auteur étant chercheur indépendant et le travail étant un preprint en cours de revue à ACM TOIS, il faut le citer avec un peu plus de prudence que les autres, mais sa structuration thématique est utile pour discuter les défis actuels du RAG.</w:t>
      </w:r>
    </w:p>
    <w:p w14:paraId="547A1B8D" w14:textId="77777777" w:rsidR="005C19F0" w:rsidRDefault="00A9064B">
      <w:pPr>
        <w:spacing w:before="80" w:after="80" w:line="300" w:lineRule="auto"/>
        <w:jc w:val="both"/>
      </w:pPr>
      <w:r>
        <w:t>Dans mon mémoire, j'utiliserai cette source principalement pour illustrer la maturité du domaine et pour aborder, dans la section 1.5 et dans la conclusion du chapitre, les limites et défis ouverts du RAG.</w:t>
      </w:r>
    </w:p>
    <w:p w14:paraId="547A1B8E" w14:textId="77777777" w:rsidR="005C19F0" w:rsidRDefault="00A9064B">
      <w:r>
        <w:br w:type="page"/>
      </w:r>
    </w:p>
    <w:p w14:paraId="547A1B8F" w14:textId="77777777" w:rsidR="005C19F0" w:rsidRDefault="00A9064B">
      <w:pPr>
        <w:pStyle w:val="Heading2"/>
        <w:pBdr>
          <w:bottom w:val="single" w:sz="8" w:space="4" w:color="1F3864"/>
        </w:pBdr>
        <w:spacing w:before="360" w:after="80"/>
      </w:pPr>
      <w:r>
        <w:rPr>
          <w:b/>
          <w:bCs/>
          <w:color w:val="1F3864"/>
        </w:rPr>
        <w:lastRenderedPageBreak/>
        <w:t>9. ICTjournal (2024) — Cinq chatbots de l'administration fédérale</w:t>
      </w:r>
    </w:p>
    <w:p w14:paraId="547A1B90" w14:textId="77777777" w:rsidR="005C19F0" w:rsidRDefault="00A9064B">
      <w:pPr>
        <w:spacing w:before="40" w:after="40"/>
      </w:pPr>
      <w:r>
        <w:rPr>
          <w:b/>
          <w:bCs/>
          <w:sz w:val="20"/>
          <w:szCs w:val="20"/>
        </w:rPr>
        <w:t xml:space="preserve">Auteur : </w:t>
      </w:r>
      <w:r>
        <w:rPr>
          <w:sz w:val="20"/>
          <w:szCs w:val="20"/>
        </w:rPr>
        <w:t>Article rédactionnel, ICTjournal</w:t>
      </w:r>
    </w:p>
    <w:p w14:paraId="547A1B91" w14:textId="77777777" w:rsidR="005C19F0" w:rsidRDefault="00A9064B">
      <w:pPr>
        <w:spacing w:before="40" w:after="40"/>
      </w:pPr>
      <w:r>
        <w:rPr>
          <w:b/>
          <w:bCs/>
          <w:sz w:val="20"/>
          <w:szCs w:val="20"/>
        </w:rPr>
        <w:t xml:space="preserve">Publication : </w:t>
      </w:r>
      <w:r>
        <w:rPr>
          <w:sz w:val="20"/>
          <w:szCs w:val="20"/>
        </w:rPr>
        <w:t>ICTjournal, 17 octobre 2024</w:t>
      </w:r>
    </w:p>
    <w:p w14:paraId="547A1B92" w14:textId="77777777" w:rsidR="005C19F0" w:rsidRDefault="00A9064B">
      <w:pPr>
        <w:spacing w:before="40" w:after="40"/>
      </w:pPr>
      <w:r>
        <w:rPr>
          <w:b/>
          <w:bCs/>
          <w:sz w:val="20"/>
          <w:szCs w:val="20"/>
        </w:rPr>
        <w:t xml:space="preserve">URL : </w:t>
      </w:r>
      <w:r>
        <w:rPr>
          <w:sz w:val="20"/>
          <w:szCs w:val="20"/>
        </w:rPr>
        <w:t>ictjournal.ch/articles/2024-10-17/cinq-chatbots-de-ladministration-federale</w:t>
      </w:r>
    </w:p>
    <w:p w14:paraId="547A1B93" w14:textId="77777777" w:rsidR="005C19F0" w:rsidRDefault="00A9064B">
      <w:pPr>
        <w:pStyle w:val="Heading3"/>
        <w:spacing w:before="200" w:after="80"/>
      </w:pPr>
      <w:r>
        <w:rPr>
          <w:b/>
          <w:bCs/>
          <w:color w:val="2E5C8A"/>
          <w:sz w:val="22"/>
          <w:szCs w:val="22"/>
        </w:rPr>
        <w:t>Résumé</w:t>
      </w:r>
    </w:p>
    <w:p w14:paraId="547A1B94" w14:textId="77777777" w:rsidR="005C19F0" w:rsidRDefault="00A9064B">
      <w:pPr>
        <w:spacing w:before="80" w:after="80" w:line="300" w:lineRule="auto"/>
        <w:jc w:val="both"/>
      </w:pPr>
      <w:r>
        <w:t>L'article recense cinq projets de chatbots développés par différents départements de l'administration fédérale suisse, tous documentés par le Réseau de compétences en intelligence artificielle (CNAI). Le premier projet est un chatbot consulaire expérimenté entre 2019 et 2021 par le Département fédéral des affaires étrangères pour les Suisses de l'étranger. Le deuxième, accessible à fragesi.ch, est déployé par l'Autorité fédérale de surveillance des fondations pour répondre aux questions des employés des fondations. Le troisième, développé par le Data Science Competence Centre de l'Office fédéral de la statistique, traduit les questions en langage naturel en requêtes SQL pour explorer opendata.swiss. Le quatrième, en cours de développement par le Secrétariat d'État à l'économie (SECO), est explicitement basé sur la technique RAG et vise à répondre aux questions des PME 24h/24, y compris sur des sujets juridiques. Le cinquième, porté par la Caisse fédérale de compensation, est un agent conversationnel interne s'appuyant sur des sources publiques (sites web, fiches d'information, textes législatifs) pour outiller les collaborateurs.</w:t>
      </w:r>
    </w:p>
    <w:p w14:paraId="547A1B95" w14:textId="77777777" w:rsidR="005C19F0" w:rsidRDefault="00A9064B">
      <w:pPr>
        <w:pStyle w:val="Heading3"/>
        <w:spacing w:before="200" w:after="80"/>
      </w:pPr>
      <w:r>
        <w:rPr>
          <w:b/>
          <w:bCs/>
          <w:color w:val="2E5C8A"/>
          <w:sz w:val="22"/>
          <w:szCs w:val="22"/>
        </w:rPr>
        <w:t>Contexte et importance</w:t>
      </w:r>
    </w:p>
    <w:p w14:paraId="547A1B96" w14:textId="77777777" w:rsidR="005C19F0" w:rsidRDefault="00A9064B">
      <w:pPr>
        <w:spacing w:before="80" w:after="80" w:line="300" w:lineRule="auto"/>
        <w:jc w:val="both"/>
      </w:pPr>
      <w:r>
        <w:t>Cet article est précieux à plusieurs titres pour mon mémoire. D'abord, il prouve que le RAG est explicitement utilisé dans l'administration suisse — le projet du SECO mentionne nommément la technique. Ensuite, il situe ge-trouve.ch dans un paysage institutionnel concret : à la fin du mois de mai 2024, le CNAI recensait déjà plus de 60 projets d'IA dans l'administration fédérale. Mon projet n'est donc pas une lubie isolée, il s'inscrit dans une tendance forte et soutenue politiquement (Lignes directrices IA du Conseil fédéral de novembre 2020, Stratégie IA 2025-2027, transfert du CNAI à la Chancellerie fédérale en février 2026).</w:t>
      </w:r>
    </w:p>
    <w:p w14:paraId="547A1B97" w14:textId="77777777" w:rsidR="005C19F0" w:rsidRDefault="00A9064B">
      <w:pPr>
        <w:spacing w:before="80" w:after="80" w:line="300" w:lineRule="auto"/>
        <w:jc w:val="both"/>
      </w:pPr>
      <w:r>
        <w:t>Pour la section 1.5 (« pourquoi le RAG est pertinent pour ge-trouve.ch ») et plus encore pour le Chapitre 7 (RAG en contexte francophone), cet article est une source incontournable. Il me permet de montrer que la problématique d'accessibilité aux démarches administratives par chatbot est reconnue, que des solutions existent au niveau fédéral, et que le canton de Genève — qui n'apparaît pas dans la liste — a un retard à combler. C'est un argument fort pour justifier l'utilité sociale du projet.</w:t>
      </w:r>
    </w:p>
    <w:p w14:paraId="547A1B98" w14:textId="77777777" w:rsidR="005C19F0" w:rsidRDefault="00A9064B">
      <w:r>
        <w:br w:type="page"/>
      </w:r>
    </w:p>
    <w:p w14:paraId="547A1B99" w14:textId="77777777" w:rsidR="005C19F0" w:rsidRDefault="00A9064B">
      <w:pPr>
        <w:pStyle w:val="Heading1"/>
        <w:spacing w:before="240" w:after="120"/>
      </w:pPr>
      <w:r>
        <w:rPr>
          <w:b/>
          <w:bCs/>
          <w:color w:val="1F3864"/>
        </w:rPr>
        <w:lastRenderedPageBreak/>
        <w:t>Chronologie et liens entre les sources</w:t>
      </w:r>
    </w:p>
    <w:p w14:paraId="547A1B9A" w14:textId="77777777" w:rsidR="005C19F0" w:rsidRDefault="00A9064B">
      <w:pPr>
        <w:spacing w:before="80" w:after="80" w:line="300" w:lineRule="auto"/>
        <w:jc w:val="both"/>
      </w:pPr>
      <w:r>
        <w:t>Les huit articles couvrent une période de près de dix ans (2017-2025) qui va de l'invention de l'architecture Transformer à la maturation du RAG. Voici comment ils s'articulent dans le temps et conceptuellement.</w:t>
      </w:r>
    </w:p>
    <w:p w14:paraId="0A000201" w14:textId="77777777" w:rsidR="005C19F0" w:rsidRDefault="00A9064B">
      <w:pPr>
        <w:pStyle w:val="Heading3"/>
        <w:spacing w:before="200" w:after="80"/>
      </w:pPr>
      <w:r>
        <w:rPr>
          <w:b/>
          <w:bCs/>
          <w:color w:val="2E5C8A"/>
          <w:sz w:val="22"/>
          <w:szCs w:val="22"/>
        </w:rPr>
        <w:t>Phase 0 — La fondation architecturale (2017)</w:t>
      </w:r>
    </w:p>
    <w:p w14:paraId="0A000202" w14:textId="77777777" w:rsidR="005C19F0" w:rsidRDefault="00A9064B">
      <w:pPr>
        <w:spacing w:before="80" w:after="80" w:line="300" w:lineRule="auto"/>
        <w:jc w:val="both"/>
      </w:pPr>
      <w:r>
        <w:t>Avant même qu'on ne parle de RAG, il faut une brique de base : le Transformer. En 2017, Vaswani et son équipe chez Google publient Attention Is All You Need, qui remplace la récurrence par l'attention et rend possible l'entraînement de modèles de langue à grande échelle. Tout ce qui suit en découle directement : les retrievers denses comme DPR reposent sur BERT, les générateurs comme BART sont des Transformers encodeur-décodeur, et les LLMs actuels (GPT, Mistral, Llama) sont des Transformers décodeurs. Cet article n'appartient pas au domaine du RAG à proprement parler, mais il en constitue le socle technique, sans lequel aucune des avancées suivantes n'aurait été possible.</w:t>
      </w:r>
    </w:p>
    <w:p w14:paraId="547A1B9B" w14:textId="77777777" w:rsidR="005C19F0" w:rsidRDefault="00A9064B">
      <w:pPr>
        <w:pStyle w:val="Heading3"/>
        <w:spacing w:before="200" w:after="80"/>
      </w:pPr>
      <w:r>
        <w:rPr>
          <w:b/>
          <w:bCs/>
          <w:color w:val="2E5C8A"/>
          <w:sz w:val="22"/>
          <w:szCs w:val="22"/>
        </w:rPr>
        <w:t>Phase 1 — Les fondations (février-mai 2020)</w:t>
      </w:r>
    </w:p>
    <w:p w14:paraId="547A1B9C" w14:textId="77777777" w:rsidR="005C19F0" w:rsidRDefault="00A9064B">
      <w:pPr>
        <w:spacing w:before="80" w:after="80" w:line="300" w:lineRule="auto"/>
        <w:jc w:val="both"/>
      </w:pPr>
      <w:r>
        <w:t>Tout commence pratiquement en parallèle dans deux laboratoires concurrents. En février 2020, Guu et son équipe chez Google Research publient REALM, qui propose la première architecture véritablement end-to-end intégrant retrieval et masked language modeling au stade du pré-entraînement. Trois mois plus tard, Lewis et son équipe chez Facebook AI Research publient l'article qui donne au domaine son nom : RAG. Là où REALM travaillait sur des tâches extractives, Lewis attaque directement la génération séquentielle, ce qui élargit considérablement le champ d'application. Les deux articles partagent les mêmes intuitions — combiner mémoire paramétrique et non-paramétrique, garantir l'interprétabilité et la modularité — mais ouvrent des branches techniques différentes.</w:t>
      </w:r>
    </w:p>
    <w:p w14:paraId="547A1B9D" w14:textId="77777777" w:rsidR="005C19F0" w:rsidRDefault="00A9064B">
      <w:pPr>
        <w:pStyle w:val="Heading3"/>
        <w:spacing w:before="200" w:after="80"/>
      </w:pPr>
      <w:r>
        <w:rPr>
          <w:b/>
          <w:bCs/>
          <w:color w:val="2E5C8A"/>
          <w:sz w:val="22"/>
          <w:szCs w:val="22"/>
        </w:rPr>
        <w:t>Phase 2 — Le passage à l'échelle (décembre 2021)</w:t>
      </w:r>
    </w:p>
    <w:p w14:paraId="547A1B9E" w14:textId="77777777" w:rsidR="005C19F0" w:rsidRDefault="00A9064B">
      <w:pPr>
        <w:spacing w:before="80" w:after="80" w:line="300" w:lineRule="auto"/>
        <w:jc w:val="both"/>
      </w:pPr>
      <w:r>
        <w:t>DeepMind entre dans la danse fin 2021 avec RETRO. La contribution est radicale : on peut atteindre les performances de GPT-3 avec 25 fois moins de paramètres si on accepte de récupérer depuis 2 000 milliards de tokens. Cet article fait passer le RAG du statut de technique parmi d'autres à celui d'alternative crédible à l'augmentation infinie de la taille des modèles. Il valide aussi rétroactivement les intuitions de Lewis et Guu : le retrieval ne fonctionne pas seulement à petite échelle, il scale.</w:t>
      </w:r>
    </w:p>
    <w:p w14:paraId="547A1B9F" w14:textId="77777777" w:rsidR="005C19F0" w:rsidRDefault="00A9064B">
      <w:pPr>
        <w:pStyle w:val="Heading3"/>
        <w:spacing w:before="200" w:after="80"/>
      </w:pPr>
      <w:r>
        <w:rPr>
          <w:b/>
          <w:bCs/>
          <w:color w:val="2E5C8A"/>
          <w:sz w:val="22"/>
          <w:szCs w:val="22"/>
        </w:rPr>
        <w:t>Phase 3 — La structuration du domaine (février 2022 - mars 2024)</w:t>
      </w:r>
    </w:p>
    <w:p w14:paraId="547A1BA0" w14:textId="77777777" w:rsidR="005C19F0" w:rsidRDefault="00A9064B">
      <w:pPr>
        <w:spacing w:before="80" w:after="80" w:line="300" w:lineRule="auto"/>
        <w:jc w:val="both"/>
      </w:pPr>
      <w:r>
        <w:t>Avec la diffusion massive de ChatGPT fin 2022, le besoin de cadre théorique se fait pressant. Ji et al. publient leur survey sur les hallucinations dans NLG en février 2022, qui devient la référence pour caractériser proprement le problème principal que le RAG cherche à résoudre. Un an plus tard, en décembre 2023, Gao et al. publient le grand survey RAG qui structure définitivement le domaine autour des trois paradigmes Naive/Advanced/Modular et impose un vocabulaire commun. Es et al. complètent le tableau côté outillage avec RAGAS en septembre 2023, en répondant à un manque criant : comment évaluer un RAG sans annotations humaines coûteuses ?</w:t>
      </w:r>
    </w:p>
    <w:p w14:paraId="547A1BA1" w14:textId="77777777" w:rsidR="005C19F0" w:rsidRDefault="00A9064B">
      <w:pPr>
        <w:pStyle w:val="Heading3"/>
        <w:spacing w:before="200" w:after="80"/>
      </w:pPr>
      <w:r>
        <w:rPr>
          <w:b/>
          <w:bCs/>
          <w:color w:val="2E5C8A"/>
          <w:sz w:val="22"/>
          <w:szCs w:val="22"/>
        </w:rPr>
        <w:t>Phase 4 — La consolidation et les défis ouverts (octobre 2024 - mai 2025)</w:t>
      </w:r>
    </w:p>
    <w:p w14:paraId="547A1BA2" w14:textId="77777777" w:rsidR="005C19F0" w:rsidRDefault="00A9064B">
      <w:pPr>
        <w:spacing w:before="80" w:after="80" w:line="300" w:lineRule="auto"/>
        <w:jc w:val="both"/>
      </w:pPr>
      <w:r>
        <w:t>Une fois le domaine mature, on observe deux mouvements parallèles. D'un côté, l'adoption industrielle massive — illustrée par l'article ICTjournal d'octobre 2024 sur les chatbots de l'administration fédérale, qui montre que le RAG sort des laboratoires pour entrer dans les services publics. De l'autre, la prise en compte des limites — Sharma 2025 propose un nouveau survey qui réorganise le paysage autour de la robustesse, de l'efficacité et des frontières architecturales, signalant que le domaine entre dans une phase plus exigeante où il ne suffit plus de faire fonctionner un RAG : il faut qu'il soit fiable, rapide et résistant aux attaques.</w:t>
      </w:r>
    </w:p>
    <w:p w14:paraId="547A1BA3" w14:textId="77777777" w:rsidR="005C19F0" w:rsidRDefault="00A9064B">
      <w:pPr>
        <w:pStyle w:val="Heading3"/>
        <w:spacing w:before="200" w:after="80"/>
      </w:pPr>
      <w:r>
        <w:rPr>
          <w:b/>
          <w:bCs/>
          <w:color w:val="2E5C8A"/>
          <w:sz w:val="22"/>
          <w:szCs w:val="22"/>
        </w:rPr>
        <w:t>Comment ces sources se complètent pour mon mémoire</w:t>
      </w:r>
    </w:p>
    <w:p w14:paraId="547A1BA4" w14:textId="77777777" w:rsidR="005C19F0" w:rsidRDefault="00A9064B">
      <w:pPr>
        <w:spacing w:before="80" w:after="80" w:line="300" w:lineRule="auto"/>
        <w:jc w:val="both"/>
      </w:pPr>
      <w:r>
        <w:lastRenderedPageBreak/>
        <w:t>Vaswani pose l'architecture — le Transformer — sur laquelle tout le reste est construit. Lewis fournit la définition fondamentale du RAG. Guu apporte la perspective historique et montre que l'idée n'est pas née de nulle part. Borgeaud démontre que ça fonctionne à grande échelle et justifie l'usage de modèles de taille raisonnable. Ji caractérise rigoureusement le problème (les hallucinations) que le RAG résout. Gao fournit la grille d'analyse qui structure tout le mémoire et qui sera mobilisée dans presque tous les chapitres. Es donne l'outillage d'évaluation pour la Partie 3. Sharma apporte la perspective la plus récente sur les défis ouverts. Et l'article ICTjournal ancre le projet dans la réalité institutionnelle suisse.</w:t>
      </w:r>
    </w:p>
    <w:p w14:paraId="547A1BA5" w14:textId="77777777" w:rsidR="005C19F0" w:rsidRDefault="00A9064B">
      <w:pPr>
        <w:spacing w:before="80" w:after="80" w:line="300" w:lineRule="auto"/>
        <w:jc w:val="both"/>
      </w:pPr>
      <w:r>
        <w:t>Pour le Chapitre 1 spécifiquement, je m'appuierai surtout sur Vaswani (fondation architecturale, en ouverture du chapitre), Ji (section 1.1 sur les limites des LLMs), Lewis (section 1.2 sur l'origine du RAG), Gao (sections 1.3 et 1.4 sur le pipeline et l'évolution), Guu et Borgeaud (références historiques complémentaires) et l'article ICTjournal (section 1.5 sur la pertinence pour ge-trouve.ch).</w:t>
      </w:r>
    </w:p>
    <w:p w14:paraId="547A1BA6" w14:textId="77777777" w:rsidR="005C19F0" w:rsidRDefault="00A9064B">
      <w:r>
        <w:br w:type="page"/>
      </w:r>
    </w:p>
    <w:p w14:paraId="547A1BA7" w14:textId="77777777" w:rsidR="005C19F0" w:rsidRDefault="00A9064B">
      <w:pPr>
        <w:pStyle w:val="Heading1"/>
        <w:spacing w:before="240" w:after="120"/>
      </w:pPr>
      <w:r>
        <w:rPr>
          <w:b/>
          <w:bCs/>
          <w:color w:val="1F3864"/>
        </w:rPr>
        <w:lastRenderedPageBreak/>
        <w:t>Conclusion</w:t>
      </w:r>
    </w:p>
    <w:p w14:paraId="547A1BA8" w14:textId="77777777" w:rsidR="005C19F0" w:rsidRDefault="00A9064B">
      <w:pPr>
        <w:spacing w:before="80" w:after="80" w:line="300" w:lineRule="auto"/>
        <w:jc w:val="both"/>
      </w:pPr>
      <w:r>
        <w:t>Cette synthèse couvre l'ensemble des sources mobilisées pour le Chapitre 1 du mémoire. Toutes ces sources ont été lues en intégralité et leur contenu a été restitué de manière à la fois fidèle et compacte. Les liens entre elles sont clairs et leur agencement chronologique respecte la véritable trajectoire du domaine.</w:t>
      </w:r>
    </w:p>
    <w:p w14:paraId="547A1BA9" w14:textId="77777777" w:rsidR="005C19F0" w:rsidRDefault="00A9064B">
      <w:pPr>
        <w:spacing w:before="80" w:after="80" w:line="300" w:lineRule="auto"/>
        <w:jc w:val="both"/>
      </w:pPr>
      <w:r>
        <w:t>Les huit articles académiques retenus présentent un profil scientifique solide : tous sont publiés dans des venues reconnues (NeurIPS, ICML, ACM Computing Surveys, EACL) ou disponibles sur arXiv avec un suivi de versions traçable. Les chiffres de citation, lorsqu'ils sont vérifiables, confirment leur centralité dans le domaine — plus de 2 600 citations pour Gao, plus de 2 100 pour Ji, plusieurs milliers pour Lewis. L'article ICTjournal complète l'ensemble en apportant l'ancrage suisse et institutionnel dont le mémoire a besoin pour démontrer son utilité sociale.</w:t>
      </w:r>
    </w:p>
    <w:p w14:paraId="547A1BAA" w14:textId="77777777" w:rsidR="005C19F0" w:rsidRDefault="00A9064B">
      <w:pPr>
        <w:spacing w:before="80" w:after="80" w:line="300" w:lineRule="auto"/>
        <w:jc w:val="both"/>
      </w:pPr>
      <w:r>
        <w:t>Cette base bibliographique est suffisante pour rédiger un Chapitre 1 sérieux et académiquement défendable. Pour les chapitres suivants — choix du framework RAG, du LLM, des embeddings, de la base vectorielle, méthodes d'évaluation, contexte francophone — d'autres sources spécifiques devront être identifiées et lues au fur et à mesure de la progression du travail.</w:t>
      </w:r>
    </w:p>
    <w:sectPr w:rsidR="005C19F0">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044E3"/>
    <w:multiLevelType w:val="multilevel"/>
    <w:tmpl w:val="E39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723BCF"/>
    <w:multiLevelType w:val="hybridMultilevel"/>
    <w:tmpl w:val="5A4EF9C6"/>
    <w:lvl w:ilvl="0" w:tplc="EB0266CC">
      <w:start w:val="1"/>
      <w:numFmt w:val="bullet"/>
      <w:lvlText w:val="●"/>
      <w:lvlJc w:val="left"/>
      <w:pPr>
        <w:ind w:left="720" w:hanging="360"/>
      </w:pPr>
    </w:lvl>
    <w:lvl w:ilvl="1" w:tplc="39865AFA">
      <w:start w:val="1"/>
      <w:numFmt w:val="bullet"/>
      <w:lvlText w:val="○"/>
      <w:lvlJc w:val="left"/>
      <w:pPr>
        <w:ind w:left="1440" w:hanging="360"/>
      </w:pPr>
    </w:lvl>
    <w:lvl w:ilvl="2" w:tplc="82206DCA">
      <w:start w:val="1"/>
      <w:numFmt w:val="bullet"/>
      <w:lvlText w:val="■"/>
      <w:lvlJc w:val="left"/>
      <w:pPr>
        <w:ind w:left="2160" w:hanging="360"/>
      </w:pPr>
    </w:lvl>
    <w:lvl w:ilvl="3" w:tplc="467C5A86">
      <w:start w:val="1"/>
      <w:numFmt w:val="bullet"/>
      <w:lvlText w:val="●"/>
      <w:lvlJc w:val="left"/>
      <w:pPr>
        <w:ind w:left="2880" w:hanging="360"/>
      </w:pPr>
    </w:lvl>
    <w:lvl w:ilvl="4" w:tplc="35B4AA70">
      <w:start w:val="1"/>
      <w:numFmt w:val="bullet"/>
      <w:lvlText w:val="○"/>
      <w:lvlJc w:val="left"/>
      <w:pPr>
        <w:ind w:left="3600" w:hanging="360"/>
      </w:pPr>
    </w:lvl>
    <w:lvl w:ilvl="5" w:tplc="F70E6EAA">
      <w:start w:val="1"/>
      <w:numFmt w:val="bullet"/>
      <w:lvlText w:val="■"/>
      <w:lvlJc w:val="left"/>
      <w:pPr>
        <w:ind w:left="4320" w:hanging="360"/>
      </w:pPr>
    </w:lvl>
    <w:lvl w:ilvl="6" w:tplc="0C963E8C">
      <w:start w:val="1"/>
      <w:numFmt w:val="bullet"/>
      <w:lvlText w:val="●"/>
      <w:lvlJc w:val="left"/>
      <w:pPr>
        <w:ind w:left="5040" w:hanging="360"/>
      </w:pPr>
    </w:lvl>
    <w:lvl w:ilvl="7" w:tplc="FA367C9C">
      <w:start w:val="1"/>
      <w:numFmt w:val="bullet"/>
      <w:lvlText w:val="●"/>
      <w:lvlJc w:val="left"/>
      <w:pPr>
        <w:ind w:left="5760" w:hanging="360"/>
      </w:pPr>
    </w:lvl>
    <w:lvl w:ilvl="8" w:tplc="0E985E5A">
      <w:start w:val="1"/>
      <w:numFmt w:val="bullet"/>
      <w:lvlText w:val="●"/>
      <w:lvlJc w:val="left"/>
      <w:pPr>
        <w:ind w:left="6480" w:hanging="360"/>
      </w:pPr>
    </w:lvl>
  </w:abstractNum>
  <w:num w:numId="1" w16cid:durableId="1318026861">
    <w:abstractNumId w:val="1"/>
    <w:lvlOverride w:ilvl="0">
      <w:startOverride w:val="1"/>
    </w:lvlOverride>
  </w:num>
  <w:num w:numId="2" w16cid:durableId="151495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9F0"/>
    <w:rsid w:val="000755CA"/>
    <w:rsid w:val="00076961"/>
    <w:rsid w:val="0020481A"/>
    <w:rsid w:val="005C10F9"/>
    <w:rsid w:val="005C19F0"/>
    <w:rsid w:val="00A9064B"/>
    <w:rsid w:val="00E21783"/>
    <w:rsid w:val="00E9731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1B38"/>
  <w15:docId w15:val="{26FA5522-1DAA-4652-A48B-F829D2DC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3905</Words>
  <Characters>22690</Characters>
  <Application>Microsoft Office Word</Application>
  <DocSecurity>0</DocSecurity>
  <Lines>354</Lines>
  <Paragraphs>123</Paragraphs>
  <ScaleCrop>false</ScaleCrop>
  <Company/>
  <LinksUpToDate>false</LinksUpToDate>
  <CharactersWithSpaces>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Garcia Daniel</cp:lastModifiedBy>
  <cp:revision>5</cp:revision>
  <dcterms:created xsi:type="dcterms:W3CDTF">2026-04-29T12:49:00Z</dcterms:created>
  <dcterms:modified xsi:type="dcterms:W3CDTF">2026-05-23T20:08:00Z</dcterms:modified>
</cp:coreProperties>
</file>