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6"/>
          <w:szCs w:val="56"/>
        </w:rPr>
        <w:t xml:space="preserve">RED-1</w:t>
      </w:r>
    </w:p>
    <w:p>
      <w:pPr>
        <w:spacing w:after="80" w:before="0"/>
        <w:jc w:val="center"/>
      </w:pPr>
      <w:r>
        <w:rPr>
          <w:rFonts w:ascii="Arial" w:cs="Arial" w:eastAsia="Arial" w:hAnsi="Arial"/>
          <w:b/>
          <w:bCs/>
          <w:color w:val="2E75B6"/>
          <w:sz w:val="36"/>
          <w:szCs w:val="36"/>
        </w:rPr>
        <w:t xml:space="preserve">Investigar contexto TI</w:t>
      </w:r>
    </w:p>
    <w:p>
      <w:pPr>
        <w:spacing w:after="60" w:before="0"/>
        <w:jc w:val="center"/>
      </w:pPr>
      <w:r>
        <w:rPr>
          <w:rFonts w:ascii="Arial" w:cs="Arial" w:eastAsia="Arial" w:hAnsi="Arial"/>
          <w:i/>
          <w:iCs/>
          <w:color w:val="404040"/>
          <w:sz w:val="26"/>
          <w:szCs w:val="26"/>
        </w:rPr>
        <w:t xml:space="preserve">Unidad para la Atención y Reparación Integral a las Víctimas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Detalle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Proyecto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Infraestructura TI — SIG Unidad de Víctimas de Colombia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Sprint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Sprint 1 — Semana 12 (27 abr – 03 may 2026)</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ID Tarea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18"/>
                <w:szCs w:val="18"/>
              </w:rPr>
              <w:t xml:space="preserve">RED-1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Responsable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Daniel Josué Narváez Hincapié</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Épica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EPIC-1 — Diseño de 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Prioridad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18"/>
                <w:szCs w:val="18"/>
              </w:rPr>
              <w:t xml:space="preserve">🔴 Crítica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Fuente consultada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https://www.unidadvictimas.gov.co/sistema-integrado-de-gestion-sig/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Entregable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/docs/contexto_institucional.md en el repo uv-infra-ti</w:t>
            </w:r>
          </w:p>
        </w:tc>
      </w:tr>
    </w:tbl>
    <w:p>
      <w:pPr>
        <w:spacing w:after="240" w:before="0"/>
      </w:pPr>
    </w:p>
    <w:p>
      <w:pPr>
        <w:pBdr>
          <w:bottom w:val="single" w:color="2E75B6" w:sz="8" w:space="4"/>
        </w:pBdr>
        <w:spacing w:after="120" w:before="360"/>
      </w:pPr>
      <w:r>
        <w:rPr>
          <w:rFonts w:ascii="Arial" w:cs="Arial" w:eastAsia="Arial" w:hAnsi="Arial"/>
          <w:b/>
          <w:bCs/>
          <w:color w:val="1F3864"/>
          <w:sz w:val="28"/>
          <w:szCs w:val="28"/>
        </w:rPr>
        <w:t xml:space="preserve">1. Contexto institucional</w:t>
      </w:r>
    </w:p>
    <w:p>
      <w:pPr>
        <w:spacing w:after="140" w:before="0"/>
        <w:jc w:val="both"/>
      </w:pPr>
      <w:r>
        <w:rPr>
          <w:rFonts w:ascii="Arial" w:cs="Arial" w:eastAsia="Arial" w:hAnsi="Arial"/>
          <w:color w:val="000000"/>
          <w:sz w:val="20"/>
          <w:szCs w:val="20"/>
        </w:rPr>
        <w:t xml:space="preserve">La Unidad para la Atención y Reparación Integral a las Víctimas fue creada mediante la Ley 1448 de 2011 como respuesta a las necesidades del conflicto armado interno colombiano. Su misión se fundamenta en la formulación y ejecución de planes, programas, proyectos y acciones específicas tendientes a la atención y reparación integral de las víctimas.</w:t>
      </w:r>
    </w:p>
    <w:p>
      <w:pPr>
        <w:spacing w:after="140" w:before="0"/>
        <w:jc w:val="both"/>
      </w:pPr>
      <w:r>
        <w:rPr>
          <w:rFonts w:ascii="Arial" w:cs="Arial" w:eastAsia="Arial" w:hAnsi="Arial"/>
          <w:color w:val="000000"/>
          <w:sz w:val="20"/>
          <w:szCs w:val="20"/>
        </w:rPr>
        <w:t xml:space="preserve">El Sistema Integrado de Gestión (SIG) fue formalizado el 2 de septiembre de 2013 y ha tenido actualizaciones mediante la Resolución 0569 del 2017 y la Resolución 02728 del 2021. Las partes interesadas del SIG son las víctimas del conflicto armado, las entidades del orden nacional, y los servidores públicos y contratistas de la Unidad.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2FB" w:val="clear"/>
            <w:tcMar>
              <w:top w:type="dxa" w:w="120"/>
              <w:left w:type="dxa" w:w="200"/>
              <w:bottom w:type="dxa" w:w="120"/>
              <w:right w:type="dxa" w:w="200"/>
            </w:tcMar>
          </w:tcPr>
          <w:p>
            <w:pPr>
              <w:spacing w:after="0" w:before="0"/>
            </w:pPr>
            <w:r>
              <w:rPr>
                <w:rFonts w:ascii="Arial" w:cs="Arial" w:eastAsia="Arial" w:hAnsi="Arial"/>
                <w:b/>
                <w:bCs/>
                <w:color w:val="1F3864"/>
                <w:sz w:val="20"/>
                <w:szCs w:val="20"/>
              </w:rPr>
              <w:t xml:space="preserve">Misión: </w:t>
            </w:r>
            <w:r>
              <w:rPr>
                <w:rFonts w:ascii="Arial" w:cs="Arial" w:eastAsia="Arial" w:hAnsi="Arial"/>
                <w:color w:val="000000"/>
                <w:sz w:val="20"/>
                <w:szCs w:val="20"/>
              </w:rPr>
              <w:t xml:space="preserve">Velar por la prevención, atención, asistencia y reparación integral de las víctimas del conflicto armado en Colombia, promoviendo la participación efectiva de las víctimas en su proceso de reparación.</w:t>
            </w:r>
          </w:p>
        </w:tc>
      </w:tr>
    </w:tbl>
    <w:p>
      <w:pPr>
        <w:spacing w:after="80" w:before="0"/>
      </w:pPr>
    </w:p>
    <w:p>
      <w:pPr>
        <w:pBdr>
          <w:bottom w:val="single" w:color="2E75B6" w:sz="8" w:space="4"/>
        </w:pBdr>
        <w:spacing w:after="120" w:before="360"/>
      </w:pPr>
      <w:r>
        <w:rPr>
          <w:rFonts w:ascii="Arial" w:cs="Arial" w:eastAsia="Arial" w:hAnsi="Arial"/>
          <w:b/>
          <w:bCs/>
          <w:color w:val="1F3864"/>
          <w:sz w:val="28"/>
          <w:szCs w:val="28"/>
        </w:rPr>
        <w:t xml:space="preserve">2. Mapa de procesos del SIG — Áreas funcionales</w:t>
      </w:r>
    </w:p>
    <w:p>
      <w:pPr>
        <w:spacing w:after="140" w:before="0"/>
        <w:jc w:val="both"/>
      </w:pPr>
      <w:r>
        <w:rPr>
          <w:rFonts w:ascii="Arial" w:cs="Arial" w:eastAsia="Arial" w:hAnsi="Arial"/>
          <w:color w:val="000000"/>
          <w:sz w:val="20"/>
          <w:szCs w:val="20"/>
        </w:rPr>
        <w:t xml:space="preserve">El SIG está organizado en cuatro capas de procesos. Cada una tiene implicaciones directas sobre la infraestructura TI que se diseñará en este proyecto.</w:t>
      </w:r>
    </w:p>
    <w:p>
      <w:pPr>
        <w:spacing w:after="80" w:before="0"/>
      </w:pPr>
    </w:p>
    <w:p>
      <w:pPr>
        <w:spacing w:after="80" w:before="240"/>
      </w:pPr>
      <w:r>
        <w:rPr>
          <w:rFonts w:ascii="Arial" w:cs="Arial" w:eastAsia="Arial" w:hAnsi="Arial"/>
          <w:b/>
          <w:bCs/>
          <w:color w:val="2E75B6"/>
          <w:sz w:val="24"/>
          <w:szCs w:val="24"/>
        </w:rPr>
        <w:t xml:space="preserve">2.1 Procesos Estratégicos</w:t>
      </w:r>
    </w:p>
    <w:p>
      <w:pPr>
        <w:spacing w:after="140" w:before="0"/>
        <w:jc w:val="both"/>
      </w:pPr>
      <w:r>
        <w:rPr>
          <w:rFonts w:ascii="Arial" w:cs="Arial" w:eastAsia="Arial" w:hAnsi="Arial"/>
          <w:color w:val="000000"/>
          <w:sz w:val="20"/>
          <w:szCs w:val="20"/>
        </w:rPr>
        <w:t xml:space="preserve">Gestionan la toma de decisiones de planificación y la relación con las partes interesadas.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Proceso</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Implicación TI</w:t>
            </w:r>
          </w:p>
        </w:tc>
      </w:tr>
      <w:tr>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Direccionamiento Estratégico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Intranet institucional, gestión documental interna (SISGESTION)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Gestión Interinstitucional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Interoperabilidad con entidades del SNARIV a través de la RNI</w:t>
            </w:r>
          </w:p>
        </w:tc>
      </w:tr>
      <w:tr>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Gestión de la Información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RNI, RUV, sistemas de información misionales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Comunicación Estratégica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Portal web público, canales digitales de atención</w:t>
            </w:r>
          </w:p>
        </w:tc>
      </w:tr>
    </w:tbl>
    <w:p>
      <w:pPr>
        <w:spacing w:after="120" w:before="0"/>
      </w:pPr>
    </w:p>
    <w:p>
      <w:pPr>
        <w:spacing w:after="80" w:before="240"/>
      </w:pPr>
      <w:r>
        <w:rPr>
          <w:rFonts w:ascii="Arial" w:cs="Arial" w:eastAsia="Arial" w:hAnsi="Arial"/>
          <w:b/>
          <w:bCs/>
          <w:color w:val="2E75B6"/>
          <w:sz w:val="24"/>
          <w:szCs w:val="24"/>
        </w:rPr>
        <w:t xml:space="preserve">2.2 Procesos Misionales ← núcleo operativo / mayor carga de red</w:t>
      </w:r>
    </w:p>
    <w:p>
      <w:pPr>
        <w:spacing w:after="140" w:before="0"/>
        <w:jc w:val="both"/>
      </w:pPr>
      <w:r>
        <w:rPr>
          <w:rFonts w:ascii="Arial" w:cs="Arial" w:eastAsia="Arial" w:hAnsi="Arial"/>
          <w:color w:val="000000"/>
          <w:sz w:val="20"/>
          <w:szCs w:val="20"/>
        </w:rPr>
        <w:t xml:space="preserve">Son los procesos de mayor criticidad para la infraestructura TI. Cualquier interrupción en estos servicios afecta directamente los derechos de ciudadanos en situación de vulnerabilidad.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Proceso misional</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Sistema / servicio TI que lo soporta</w:t>
            </w:r>
          </w:p>
        </w:tc>
      </w:tr>
      <w:tr>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Gestión de Registro y Valoración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RUV (Registro Único de Víctimas), declaraciones en línea, valoración y notificaciones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Relación con el Ciudadano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Call center, atención virtual por video llamada, portal web ciudadano</w:t>
            </w:r>
          </w:p>
        </w:tc>
      </w:tr>
      <w:tr>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Reparación Integral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BD de seguimiento de indemnizaciones, pagos y reparación simbólica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Gestión para la Asistencia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Módulo de ayuda humanitaria, turnos digitales, verificación de beneficiarios</w:t>
            </w:r>
          </w:p>
        </w:tc>
      </w:tr>
      <w:tr>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Prevención Urgente y Atención en la Inmediatez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Alertas tempranas, coordinación territorial con gobernaciones y alcaldías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Atención Asuntos Étnicos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Módulos diferenciados de atención para comunidades étnicas en el RUV</w:t>
            </w:r>
          </w:p>
        </w:tc>
      </w:tr>
      <w:tr>
        <w:tc>
          <w:tcPr>
            <w:tcW w:type="dxa" w:w="36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Participación y Visibilización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Plataformas de participación, comunicaciones con organizaciones de víctimas</w:t>
            </w:r>
          </w:p>
        </w:tc>
      </w:tr>
    </w:tbl>
    <w:p>
      <w:pPr>
        <w:spacing w:after="120" w:before="0"/>
      </w:pPr>
    </w:p>
    <w:p>
      <w:pPr>
        <w:spacing w:after="80" w:before="240"/>
      </w:pPr>
      <w:r>
        <w:rPr>
          <w:rFonts w:ascii="Arial" w:cs="Arial" w:eastAsia="Arial" w:hAnsi="Arial"/>
          <w:b/>
          <w:bCs/>
          <w:color w:val="2E75B6"/>
          <w:sz w:val="24"/>
          <w:szCs w:val="24"/>
        </w:rPr>
        <w:t xml:space="preserve">2.3 Procesos de Apoyo</w:t>
      </w:r>
    </w:p>
    <w:p>
      <w:pPr>
        <w:spacing w:after="140" w:before="0"/>
        <w:jc w:val="both"/>
      </w:pPr>
      <w:r>
        <w:rPr>
          <w:rFonts w:ascii="Arial" w:cs="Arial" w:eastAsia="Arial" w:hAnsi="Arial"/>
          <w:color w:val="000000"/>
          <w:sz w:val="20"/>
          <w:szCs w:val="20"/>
        </w:rPr>
        <w:t xml:space="preserve">Generan tráfico interno de red de tipo administrativo. Incluyen Gestión Administrativa, Contractual, de Talento Humano, Documental, Financiera y Jurídica. Requieren acceso a servidores de archivos compartidos, correo institucional y sistemas de nómina y contratación.</w:t>
      </w:r>
    </w:p>
    <w:p>
      <w:pPr>
        <w:spacing w:after="80" w:before="0"/>
      </w:pPr>
    </w:p>
    <w:p>
      <w:pPr>
        <w:spacing w:after="80" w:before="240"/>
      </w:pPr>
      <w:r>
        <w:rPr>
          <w:rFonts w:ascii="Arial" w:cs="Arial" w:eastAsia="Arial" w:hAnsi="Arial"/>
          <w:b/>
          <w:bCs/>
          <w:color w:val="2E75B6"/>
          <w:sz w:val="24"/>
          <w:szCs w:val="24"/>
        </w:rPr>
        <w:t xml:space="preserve">2.4 Procesos de Seguimiento y Control</w:t>
      </w:r>
    </w:p>
    <w:p>
      <w:pPr>
        <w:spacing w:after="140" w:before="0"/>
        <w:jc w:val="both"/>
      </w:pPr>
      <w:r>
        <w:rPr>
          <w:rFonts w:ascii="Arial" w:cs="Arial" w:eastAsia="Arial" w:hAnsi="Arial"/>
          <w:color w:val="000000"/>
          <w:sz w:val="20"/>
          <w:szCs w:val="20"/>
        </w:rPr>
        <w:t xml:space="preserve">Necesarios para medir el desempeño y mejorar la eficacia de la gestión. Incluyen Control Interno Disciplinario y Evaluación Independiente. Requieren acceso de auditoría a logs y bases de datos con permisos estrictamente restringidos (solo lectura sobre zonas específicas).</w:t>
      </w:r>
    </w:p>
    <w:p>
      <w:pPr>
        <w:spacing w:after="80" w:before="0"/>
      </w:pPr>
    </w:p>
    <w:p>
      <w:pPr>
        <w:pBdr>
          <w:bottom w:val="single" w:color="2E75B6" w:sz="8" w:space="4"/>
        </w:pBdr>
        <w:spacing w:after="120" w:before="360"/>
      </w:pPr>
      <w:r>
        <w:rPr>
          <w:rFonts w:ascii="Arial" w:cs="Arial" w:eastAsia="Arial" w:hAnsi="Arial"/>
          <w:b/>
          <w:bCs/>
          <w:color w:val="1F3864"/>
          <w:sz w:val="28"/>
          <w:szCs w:val="28"/>
        </w:rPr>
        <w:t xml:space="preserve">3. Sistemas de información críticos identificados</w:t>
      </w:r>
    </w:p>
    <w:p>
      <w:pPr>
        <w:spacing w:after="80" w:before="240"/>
      </w:pPr>
      <w:r>
        <w:rPr>
          <w:rFonts w:ascii="Arial" w:cs="Arial" w:eastAsia="Arial" w:hAnsi="Arial"/>
          <w:b/>
          <w:bCs/>
          <w:color w:val="2E75B6"/>
          <w:sz w:val="24"/>
          <w:szCs w:val="24"/>
        </w:rPr>
        <w:t xml:space="preserve">3.1 Registro Único de Víctimas (RUV)</w:t>
      </w:r>
    </w:p>
    <w:p>
      <w:pPr>
        <w:spacing w:after="140" w:before="0"/>
        <w:jc w:val="both"/>
      </w:pPr>
      <w:r>
        <w:rPr>
          <w:rFonts w:ascii="Arial" w:cs="Arial" w:eastAsia="Arial" w:hAnsi="Arial"/>
          <w:color w:val="000000"/>
          <w:sz w:val="20"/>
          <w:szCs w:val="20"/>
        </w:rPr>
        <w:t xml:space="preserve">El RUV centraliza los lineamientos para la administración, operación y funcionamiento del registro de víctimas, mediante procedimientos para analizar, valorar y decidir sobre las solicitudes de inscripción. Está conformado por los registros normativos desde 1997: Ley 387, Ley 418, Ley 975, Decreto 1290 y la Ley 1448 de 2011.</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FF0E0" w:val="clear"/>
            <w:tcMar>
              <w:top w:type="dxa" w:w="120"/>
              <w:left w:type="dxa" w:w="200"/>
              <w:bottom w:type="dxa" w:w="120"/>
              <w:right w:type="dxa" w:w="200"/>
            </w:tcMar>
          </w:tcPr>
          <w:p>
            <w:pPr>
              <w:spacing w:after="0" w:before="0"/>
            </w:pPr>
            <w:r>
              <w:rPr>
                <w:rFonts w:ascii="Arial" w:cs="Arial" w:eastAsia="Arial" w:hAnsi="Arial"/>
                <w:b/>
                <w:bCs/>
                <w:color w:val="7F3F00"/>
                <w:sz w:val="20"/>
                <w:szCs w:val="20"/>
              </w:rPr>
              <w:t xml:space="preserve">Implicación de red: </w:t>
            </w:r>
            <w:r>
              <w:rPr>
                <w:rFonts w:ascii="Arial" w:cs="Arial" w:eastAsia="Arial" w:hAnsi="Arial"/>
                <w:color w:val="000000"/>
                <w:sz w:val="20"/>
                <w:szCs w:val="20"/>
              </w:rPr>
              <w:t xml:space="preserve">Base de datos con millones de registros de alta confidencialidad. Requiere segmento de red aislado (VLAN de servidores), acceso restringido solo desde red interna, y replicación/backup continuo.</w:t>
            </w:r>
          </w:p>
        </w:tc>
      </w:tr>
    </w:tbl>
    <w:p>
      <w:pPr>
        <w:spacing w:after="100" w:before="0"/>
      </w:pPr>
    </w:p>
    <w:p>
      <w:pPr>
        <w:spacing w:after="80" w:before="240"/>
      </w:pPr>
      <w:r>
        <w:rPr>
          <w:rFonts w:ascii="Arial" w:cs="Arial" w:eastAsia="Arial" w:hAnsi="Arial"/>
          <w:b/>
          <w:bCs/>
          <w:color w:val="2E75B6"/>
          <w:sz w:val="24"/>
          <w:szCs w:val="24"/>
        </w:rPr>
        <w:t xml:space="preserve">3.2 Red Nacional de Información (RNI)</w:t>
      </w:r>
    </w:p>
    <w:p>
      <w:pPr>
        <w:spacing w:after="140" w:before="0"/>
        <w:jc w:val="both"/>
      </w:pPr>
      <w:r>
        <w:rPr>
          <w:rFonts w:ascii="Arial" w:cs="Arial" w:eastAsia="Arial" w:hAnsi="Arial"/>
          <w:color w:val="000000"/>
          <w:sz w:val="20"/>
          <w:szCs w:val="20"/>
        </w:rPr>
        <w:t xml:space="preserve">La RNI es el instrumento que garantiza al SNARIV una información nacional y regional rápida y eficaz para identificar y diagnosticar las circunstancias que ocasionaron daño a las víctimas. Concentra información sobre personas víctimas y eventos victimizantes, y establece mecanismos de interoperabilidad y trazabilidad del flujo de información entre todas las entidades que conforman el sistema.</w:t>
      </w:r>
    </w:p>
    <w:p>
      <w:pPr>
        <w:spacing w:after="140" w:before="0"/>
        <w:jc w:val="both"/>
      </w:pPr>
      <w:r>
        <w:rPr>
          <w:rFonts w:ascii="Arial" w:cs="Arial" w:eastAsia="Arial" w:hAnsi="Arial"/>
          <w:color w:val="000000"/>
          <w:sz w:val="20"/>
          <w:szCs w:val="20"/>
        </w:rPr>
        <w:t xml:space="preserve">A través de la RNI, los funcionarios de entidades con acuerdo de intercambio de información pueden acceder a módulos web con: consulta individual del RUV, verificación de turnos de ayuda humanitaria, módulo de acreditaciones, módulo de novedades y cruces masivos de información.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FF0E0" w:val="clear"/>
            <w:tcMar>
              <w:top w:type="dxa" w:w="120"/>
              <w:left w:type="dxa" w:w="200"/>
              <w:bottom w:type="dxa" w:w="120"/>
              <w:right w:type="dxa" w:w="200"/>
            </w:tcMar>
          </w:tcPr>
          <w:p>
            <w:pPr>
              <w:spacing w:after="0" w:before="0"/>
            </w:pPr>
            <w:r>
              <w:rPr>
                <w:rFonts w:ascii="Arial" w:cs="Arial" w:eastAsia="Arial" w:hAnsi="Arial"/>
                <w:b/>
                <w:bCs/>
                <w:color w:val="7F3F00"/>
                <w:sz w:val="20"/>
                <w:szCs w:val="20"/>
              </w:rPr>
              <w:t xml:space="preserve">Implicación de red: </w:t>
            </w:r>
            <w:r>
              <w:rPr>
                <w:rFonts w:ascii="Arial" w:cs="Arial" w:eastAsia="Arial" w:hAnsi="Arial"/>
                <w:color w:val="000000"/>
                <w:sz w:val="20"/>
                <w:szCs w:val="20"/>
              </w:rPr>
              <w:t xml:space="preserve">Comunicación segura con entidades externas (Ministerio Público, gobernaciones, alcaldías, ONG). Requiere DMZ para exponer servicios de intercambio interinstitucional con controles de acceso estrictos.</w:t>
            </w:r>
          </w:p>
        </w:tc>
      </w:tr>
    </w:tbl>
    <w:p>
      <w:pPr>
        <w:spacing w:after="100" w:before="0"/>
      </w:pPr>
    </w:p>
    <w:p>
      <w:pPr>
        <w:spacing w:after="80" w:before="240"/>
      </w:pPr>
      <w:r>
        <w:rPr>
          <w:rFonts w:ascii="Arial" w:cs="Arial" w:eastAsia="Arial" w:hAnsi="Arial"/>
          <w:b/>
          <w:bCs/>
          <w:color w:val="2E75B6"/>
          <w:sz w:val="24"/>
          <w:szCs w:val="24"/>
        </w:rPr>
        <w:t xml:space="preserve">3.3 SISGESTION (gestión documental interna)</w:t>
      </w:r>
    </w:p>
    <w:p>
      <w:pPr>
        <w:spacing w:after="140" w:before="0"/>
        <w:jc w:val="both"/>
      </w:pPr>
      <w:r>
        <w:rPr>
          <w:rFonts w:ascii="Arial" w:cs="Arial" w:eastAsia="Arial" w:hAnsi="Arial"/>
          <w:color w:val="000000"/>
          <w:sz w:val="20"/>
          <w:szCs w:val="20"/>
        </w:rPr>
        <w:t xml:space="preserve">El aplicativo SISGESTION es la herramienta interna para registrar y gestionar los documentos y salidas no conformes de los procesos del SIG. Es responsabilidad del enlace SIG de la Oficina Asesora de Planeación su revisión. Es el sistema de gestión documental utilizado transversalmente por todos los procesos misionales y de apoyo.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FF0E0" w:val="clear"/>
            <w:tcMar>
              <w:top w:type="dxa" w:w="120"/>
              <w:left w:type="dxa" w:w="200"/>
              <w:bottom w:type="dxa" w:w="120"/>
              <w:right w:type="dxa" w:w="200"/>
            </w:tcMar>
          </w:tcPr>
          <w:p>
            <w:pPr>
              <w:spacing w:after="0" w:before="0"/>
            </w:pPr>
            <w:r>
              <w:rPr>
                <w:rFonts w:ascii="Arial" w:cs="Arial" w:eastAsia="Arial" w:hAnsi="Arial"/>
                <w:b/>
                <w:bCs/>
                <w:color w:val="7F3F00"/>
                <w:sz w:val="20"/>
                <w:szCs w:val="20"/>
              </w:rPr>
              <w:t xml:space="preserve">Implicación de red: </w:t>
            </w:r>
            <w:r>
              <w:rPr>
                <w:rFonts w:ascii="Arial" w:cs="Arial" w:eastAsia="Arial" w:hAnsi="Arial"/>
                <w:color w:val="000000"/>
                <w:sz w:val="20"/>
                <w:szCs w:val="20"/>
              </w:rPr>
              <w:t xml:space="preserve">Servidor de archivos y aplicaciones accesible únicamente desde la red interna (VLAN usuarios o VLAN administración). No expuesto a internet.</w:t>
            </w:r>
          </w:p>
        </w:tc>
      </w:tr>
    </w:tbl>
    <w:p>
      <w:pPr>
        <w:spacing w:after="100" w:before="0"/>
      </w:pPr>
    </w:p>
    <w:p>
      <w:pPr>
        <w:spacing w:after="80" w:before="240"/>
      </w:pPr>
      <w:r>
        <w:rPr>
          <w:rFonts w:ascii="Arial" w:cs="Arial" w:eastAsia="Arial" w:hAnsi="Arial"/>
          <w:b/>
          <w:bCs/>
          <w:color w:val="2E75B6"/>
          <w:sz w:val="24"/>
          <w:szCs w:val="24"/>
        </w:rPr>
        <w:t xml:space="preserve">3.4 Canal digital de atención ciudadana</w:t>
      </w:r>
    </w:p>
    <w:p>
      <w:pPr>
        <w:spacing w:after="140" w:before="0"/>
        <w:jc w:val="both"/>
      </w:pPr>
      <w:r>
        <w:rPr>
          <w:rFonts w:ascii="Arial" w:cs="Arial" w:eastAsia="Arial" w:hAnsi="Arial"/>
          <w:color w:val="000000"/>
          <w:sz w:val="20"/>
          <w:szCs w:val="20"/>
        </w:rPr>
        <w:t xml:space="preserve">La Unidad cuenta con procedimiento de atención telefónica y virtual (video llamada) cuyo objetivo es atender, orientar y direccionar adecuadamente al ciudadano en general o víctima del conflicto armado, brindando respuesta efectiva a sus solicitudes.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FF0E0" w:val="clear"/>
            <w:tcMar>
              <w:top w:type="dxa" w:w="120"/>
              <w:left w:type="dxa" w:w="200"/>
              <w:bottom w:type="dxa" w:w="120"/>
              <w:right w:type="dxa" w:w="200"/>
            </w:tcMar>
          </w:tcPr>
          <w:p>
            <w:pPr>
              <w:spacing w:after="0" w:before="0"/>
            </w:pPr>
            <w:r>
              <w:rPr>
                <w:rFonts w:ascii="Arial" w:cs="Arial" w:eastAsia="Arial" w:hAnsi="Arial"/>
                <w:b/>
                <w:bCs/>
                <w:color w:val="7F3F00"/>
                <w:sz w:val="20"/>
                <w:szCs w:val="20"/>
              </w:rPr>
              <w:t xml:space="preserve">Implicación de red: </w:t>
            </w:r>
            <w:r>
              <w:rPr>
                <w:rFonts w:ascii="Arial" w:cs="Arial" w:eastAsia="Arial" w:hAnsi="Arial"/>
                <w:color w:val="000000"/>
                <w:sz w:val="20"/>
                <w:szCs w:val="20"/>
              </w:rPr>
              <w:t xml:space="preserve">Servidor web público (Nginx) ubicado en la DMZ, con acceso HTTP/HTTPS desde internet. Separado físicamente y lógicamente de la red interna.</w:t>
            </w:r>
          </w:p>
        </w:tc>
      </w:tr>
    </w:tbl>
    <w:p>
      <w:pPr>
        <w:spacing w:after="100" w:before="0"/>
      </w:pPr>
    </w:p>
    <w:p>
      <w:pPr>
        <w:spacing w:after="80" w:before="240"/>
      </w:pPr>
      <w:r>
        <w:rPr>
          <w:rFonts w:ascii="Arial" w:cs="Arial" w:eastAsia="Arial" w:hAnsi="Arial"/>
          <w:b/>
          <w:bCs/>
          <w:color w:val="2E75B6"/>
          <w:sz w:val="24"/>
          <w:szCs w:val="24"/>
        </w:rPr>
        <w:t xml:space="preserve">3.5 SUMA Intranet</w:t>
      </w:r>
    </w:p>
    <w:p>
      <w:pPr>
        <w:spacing w:after="140" w:before="0"/>
        <w:jc w:val="both"/>
      </w:pPr>
      <w:r>
        <w:rPr>
          <w:rFonts w:ascii="Arial" w:cs="Arial" w:eastAsia="Arial" w:hAnsi="Arial"/>
          <w:color w:val="000000"/>
          <w:sz w:val="20"/>
          <w:szCs w:val="20"/>
        </w:rPr>
        <w:t xml:space="preserve">Canal de comunicación interno denominado SUMA Intranet, administrado por la Oficina de Comunicaciones, cuyo fin es mantener informados a los funcionarios de la Unidad sobre directrices institucionales, procedimientos y novedades del SIG.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FF0E0" w:val="clear"/>
            <w:tcMar>
              <w:top w:type="dxa" w:w="120"/>
              <w:left w:type="dxa" w:w="200"/>
              <w:bottom w:type="dxa" w:w="120"/>
              <w:right w:type="dxa" w:w="200"/>
            </w:tcMar>
          </w:tcPr>
          <w:p>
            <w:pPr>
              <w:spacing w:after="0" w:before="0"/>
            </w:pPr>
            <w:r>
              <w:rPr>
                <w:rFonts w:ascii="Arial" w:cs="Arial" w:eastAsia="Arial" w:hAnsi="Arial"/>
                <w:b/>
                <w:bCs/>
                <w:color w:val="7F3F00"/>
                <w:sz w:val="20"/>
                <w:szCs w:val="20"/>
              </w:rPr>
              <w:t xml:space="preserve">Implicación de red: </w:t>
            </w:r>
            <w:r>
              <w:rPr>
                <w:rFonts w:ascii="Arial" w:cs="Arial" w:eastAsia="Arial" w:hAnsi="Arial"/>
                <w:color w:val="000000"/>
                <w:sz w:val="20"/>
                <w:szCs w:val="20"/>
              </w:rPr>
              <w:t xml:space="preserve">Servidor web interno accesible exclusivamente desde la VLAN de usuarios internos. No requiere exposición pública.</w:t>
            </w:r>
          </w:p>
        </w:tc>
      </w:tr>
    </w:tbl>
    <w:p>
      <w:pPr>
        <w:spacing w:after="120" w:before="0"/>
      </w:pPr>
    </w:p>
    <w:p>
      <w:pPr>
        <w:pBdr>
          <w:bottom w:val="single" w:color="2E75B6" w:sz="8" w:space="4"/>
        </w:pBdr>
        <w:spacing w:after="120" w:before="360"/>
      </w:pPr>
      <w:r>
        <w:rPr>
          <w:rFonts w:ascii="Arial" w:cs="Arial" w:eastAsia="Arial" w:hAnsi="Arial"/>
          <w:b/>
          <w:bCs/>
          <w:color w:val="1F3864"/>
          <w:sz w:val="28"/>
          <w:szCs w:val="28"/>
        </w:rPr>
        <w:t xml:space="preserve">4. Política de seguridad de la información — Exigencias de red</w:t>
      </w:r>
    </w:p>
    <w:p>
      <w:pPr>
        <w:spacing w:after="140" w:before="0"/>
        <w:jc w:val="both"/>
      </w:pPr>
      <w:r>
        <w:rPr>
          <w:rFonts w:ascii="Arial" w:cs="Arial" w:eastAsia="Arial" w:hAnsi="Arial"/>
          <w:color w:val="000000"/>
          <w:sz w:val="20"/>
          <w:szCs w:val="20"/>
        </w:rPr>
        <w:t xml:space="preserve">La política de seguridad de la información de la Unidad establece que esta gestiona, controla y salvaguarda la confidencialidad, integridad y disponibilidad de la información de los procesos y de la población víctima, mediante la gestión de riesgos de seguridad de la información y la implementación de controles físicos y digitales para prevenir incidentes, promover la continuidad de las operaciones y desarrollar la cultura de seguridad de la información.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Principio CIA</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Requerimiento de red derivado</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Confidencialidad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Segmentación por VLANs para que la información del RUV no sea accesible desde zonas no autorizadas. Firewall con política DENY-all por defecto.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Integridad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Control de acceso con usuarios y permisos diferenciados por proceso (SETUID, SETGID, sticky bit). Autenticación SSH con llaves, sin login root.</w:t>
            </w:r>
          </w:p>
        </w:tc>
      </w:tr>
      <w:tr>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Disponibilidad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Alta disponibilidad en servidores críticos (RUV, RNI). RAID 1 para tolerancia a fallos de disco. Backups automatizados diarios. Balanceo de carga para el servidor web.</w:t>
            </w:r>
          </w:p>
        </w:tc>
      </w:tr>
    </w:tbl>
    <w:p>
      <w:pPr>
        <w:spacing w:after="120" w:before="0"/>
      </w:pPr>
    </w:p>
    <w:p>
      <w:pPr>
        <w:pBdr>
          <w:bottom w:val="single" w:color="2E75B6" w:sz="8" w:space="4"/>
        </w:pBdr>
        <w:spacing w:after="120" w:before="360"/>
      </w:pPr>
      <w:r>
        <w:rPr>
          <w:rFonts w:ascii="Arial" w:cs="Arial" w:eastAsia="Arial" w:hAnsi="Arial"/>
          <w:b/>
          <w:bCs/>
          <w:color w:val="1F3864"/>
          <w:sz w:val="28"/>
          <w:szCs w:val="28"/>
        </w:rPr>
        <w:t xml:space="preserve">5. Requerimientos de red inferidos del contexto institucional</w:t>
      </w:r>
    </w:p>
    <w:p>
      <w:pPr>
        <w:spacing w:after="80" w:before="240"/>
      </w:pPr>
      <w:r>
        <w:rPr>
          <w:rFonts w:ascii="Arial" w:cs="Arial" w:eastAsia="Arial" w:hAnsi="Arial"/>
          <w:b/>
          <w:bCs/>
          <w:color w:val="2E75B6"/>
          <w:sz w:val="24"/>
          <w:szCs w:val="24"/>
        </w:rPr>
        <w:t xml:space="preserve">5.1 Segmentación por áreas funcionales (VLANs)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41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VLAN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Nombre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Subred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Justificación</w:t>
            </w:r>
          </w:p>
        </w:tc>
      </w:tr>
      <w:tr>
        <w:tc>
          <w:tcPr>
            <w:tcW w:type="dxa" w:w="1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center"/>
            </w:pPr>
            <w:r>
              <w:rPr>
                <w:rFonts w:ascii="Arial" w:cs="Arial" w:eastAsia="Arial" w:hAnsi="Arial"/>
                <w:b/>
                <w:bCs/>
                <w:i w:val="false"/>
                <w:iCs w:val="false"/>
                <w:color w:val="1F3864"/>
                <w:sz w:val="18"/>
                <w:szCs w:val="18"/>
              </w:rPr>
              <w:t xml:space="preserve">VLAN 10</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Servidores</w:t>
            </w:r>
          </w:p>
        </w:tc>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10.0.10.0/24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Aislar RUV, BD PostgreSQL y servicios misionales de alto valor. Acceso permitido solo desde VLANs autorizadas (Administración).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3864"/>
                <w:sz w:val="18"/>
                <w:szCs w:val="18"/>
              </w:rPr>
              <w:t xml:space="preserve">VLAN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Administración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10.0.20.0/24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Funcionarios TI, Oficina de Planeación, acceso a SISGESTION y monitoreo de sistemas. Acceso SSH a servidores.</w:t>
            </w:r>
          </w:p>
        </w:tc>
      </w:tr>
      <w:tr>
        <w:tc>
          <w:tcPr>
            <w:tcW w:type="dxa" w:w="1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center"/>
            </w:pPr>
            <w:r>
              <w:rPr>
                <w:rFonts w:ascii="Arial" w:cs="Arial" w:eastAsia="Arial" w:hAnsi="Arial"/>
                <w:b/>
                <w:bCs/>
                <w:i w:val="false"/>
                <w:iCs w:val="false"/>
                <w:color w:val="1F3864"/>
                <w:sz w:val="18"/>
                <w:szCs w:val="18"/>
              </w:rPr>
              <w:t xml:space="preserve">VLAN 30</w:t>
            </w:r>
          </w:p>
        </w:tc>
        <w:tc>
          <w:tcPr>
            <w:tcW w:type="dxa" w:w="20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Usuarios internos</w:t>
            </w:r>
          </w:p>
        </w:tc>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10.0.30.0/24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Personal de subdirecciones: registro, asistencia, reparación, talento humano. Acceso a SUMA Intranet y SISGESTION.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3864"/>
                <w:sz w:val="18"/>
                <w:szCs w:val="18"/>
              </w:rPr>
              <w:t xml:space="preserve">VLAN 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DMZ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10.0.40.0/24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Servicios expuestos hacia internet: portal web ciudadano (Nginx) y APIs de intercambio con RNI/SNARIV. Sin acceso directo a VLAN 10.</w:t>
            </w:r>
          </w:p>
        </w:tc>
      </w:tr>
    </w:tbl>
    <w:p>
      <w:pPr>
        <w:spacing w:after="120" w:before="0"/>
      </w:pPr>
    </w:p>
    <w:p>
      <w:pPr>
        <w:spacing w:after="80" w:before="240"/>
      </w:pPr>
      <w:r>
        <w:rPr>
          <w:rFonts w:ascii="Arial" w:cs="Arial" w:eastAsia="Arial" w:hAnsi="Arial"/>
          <w:b/>
          <w:bCs/>
          <w:color w:val="2E75B6"/>
          <w:sz w:val="24"/>
          <w:szCs w:val="24"/>
        </w:rPr>
        <w:t xml:space="preserve">5.2 Servidores requeridos y su justificación institucional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Servidor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Servicio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VLAN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Justificación institucional</w:t>
            </w:r>
          </w:p>
        </w:tc>
      </w:tr>
      <w:tr>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srv-web-01</w:t>
            </w:r>
          </w:p>
        </w:tc>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Nginx
(portal ciudadano + SUMA Intranet)</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VLAN 40 /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Atención ciudadana en línea (declaraciones, consultas RUV, video llamada) e intranet interna.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srv-db-01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PostgreSQL
(RUV + datos SIG)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VLAN 10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Base de datos central con información confidencial de víctimas del conflicto. Alta disponibilidad requerida por Ley 1448.</w:t>
            </w:r>
          </w:p>
        </w:tc>
      </w:tr>
      <w:tr>
        <w:tc>
          <w:tcPr>
            <w:tcW w:type="dxa" w:w="18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srv-files-01</w:t>
            </w:r>
          </w:p>
        </w:tc>
        <w:tc>
          <w:tcPr>
            <w:tcW w:type="dxa" w:w="22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Samba
(SISGESTION / gestión documental)</w:t>
            </w:r>
          </w:p>
        </w:tc>
        <w:tc>
          <w:tcPr>
            <w:tcW w:type="dxa" w:w="1400"/>
            <w:tcBorders>
              <w:top w:val="single" w:color="CCCCCC" w:sz="1"/>
              <w:left w:val="single" w:color="CCCCCC" w:sz="1"/>
              <w:bottom w:val="single" w:color="CCCCCC" w:sz="1"/>
              <w:right w:val="single" w:color="CCCCCC" w:sz="1"/>
            </w:tcBorders>
            <w:shd w:fill="EBF2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VLAN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Documentos institucionales: procedimientos SIG, registros de calidad, actos administrativos, resoluciones.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F3864"/>
                <w:sz w:val="18"/>
                <w:szCs w:val="18"/>
              </w:rPr>
              <w:t xml:space="preserve">srv-ntp-01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NTP / chrony
(sincronización horaria)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VLAN 10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Sincronización crítica para trazabilidad de eventos en logs y transacciones del RUV. Exigencia de auditoría del SIG.</w:t>
            </w:r>
          </w:p>
        </w:tc>
      </w:tr>
    </w:tbl>
    <w:p>
      <w:pPr>
        <w:spacing w:after="120" w:before="0"/>
      </w:pPr>
    </w:p>
    <w:p>
      <w:pPr>
        <w:spacing w:after="80" w:before="240"/>
      </w:pPr>
      <w:r>
        <w:rPr>
          <w:rFonts w:ascii="Arial" w:cs="Arial" w:eastAsia="Arial" w:hAnsi="Arial"/>
          <w:b/>
          <w:bCs/>
          <w:color w:val="2E75B6"/>
          <w:sz w:val="24"/>
          <w:szCs w:val="24"/>
        </w:rPr>
        <w:t xml:space="preserve">5.3 Flujos de tráfico críticos identificados</w:t>
      </w:r>
    </w:p>
    <w:p>
      <w:pPr>
        <w:spacing w:after="140" w:before="0"/>
        <w:jc w:val="both"/>
      </w:pPr>
      <w:r>
        <w:rPr>
          <w:rFonts w:ascii="Arial" w:cs="Arial" w:eastAsia="Arial" w:hAnsi="Arial"/>
          <w:color w:val="000000"/>
          <w:sz w:val="20"/>
          <w:szCs w:val="20"/>
        </w:rPr>
        <w:t xml:space="preserve">Los flujos de comunicación entre zonas de red deben estar estrictamente controlados por el firewall. El siguiente diagrama textual resume los flujos permitidos: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1E1E1E" w:val="clear"/>
            <w:tcMar>
              <w:top w:type="dxa" w:w="140"/>
              <w:left w:type="dxa" w:w="200"/>
              <w:bottom w:type="dxa" w:w="140"/>
              <w:right w:type="dxa" w:w="200"/>
            </w:tcMar>
          </w:tcPr>
          <w:p>
            <w:pPr>
              <w:spacing w:after="40" w:before="0"/>
            </w:pPr>
            <w:r>
              <w:rPr>
                <w:rFonts w:ascii="Courier New" w:cs="Courier New" w:eastAsia="Courier New" w:hAnsi="Courier New"/>
                <w:color w:val="D4D4D4"/>
                <w:sz w:val="18"/>
                <w:szCs w:val="18"/>
              </w:rPr>
              <w:t xml:space="preserve">Internet / Ciudadanos / Entidades SNARIV</w:t>
            </w:r>
          </w:p>
          <w:p>
            <w:pPr>
              <w:spacing w:after="40" w:before="0"/>
            </w:pPr>
            <w:r>
              <w:rPr>
                <w:rFonts w:ascii="Courier New" w:cs="Courier New" w:eastAsia="Courier New" w:hAnsi="Courier New"/>
                <w:color w:val="D4D4D4"/>
                <w:sz w:val="18"/>
                <w:szCs w:val="18"/>
              </w:rPr>
              <w:t xml:space="preserve">         │ HTTPS (443) / HTTP (80)</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          DMZ — VLAN 40 (10.0.40.0/24)               │</w:t>
            </w:r>
          </w:p>
          <w:p>
            <w:pPr>
              <w:spacing w:after="40" w:before="0"/>
            </w:pPr>
            <w:r>
              <w:rPr>
                <w:rFonts w:ascii="Courier New" w:cs="Courier New" w:eastAsia="Courier New" w:hAnsi="Courier New"/>
                <w:color w:val="D4D4D4"/>
                <w:sz w:val="18"/>
                <w:szCs w:val="18"/>
              </w:rPr>
              <w:t xml:space="preserve">  │  srv-web-01 (Nginx — portal público)                │</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 consulta interna protegida (5432)</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       Servidores — VLAN 10 (10.0.10.0/24)           │</w:t>
            </w:r>
          </w:p>
          <w:p>
            <w:pPr>
              <w:spacing w:after="40" w:before="0"/>
            </w:pPr>
            <w:r>
              <w:rPr>
                <w:rFonts w:ascii="Courier New" w:cs="Courier New" w:eastAsia="Courier New" w:hAnsi="Courier New"/>
                <w:color w:val="D4D4D4"/>
                <w:sz w:val="18"/>
                <w:szCs w:val="18"/>
              </w:rPr>
              <w:t xml:space="preserve">  │  srv-db-01 (PostgreSQL/RUV) · srv-files-01 (Samba)  │</w:t>
            </w:r>
          </w:p>
          <w:p>
            <w:pPr>
              <w:spacing w:after="40" w:before="0"/>
            </w:pPr>
            <w:r>
              <w:rPr>
                <w:rFonts w:ascii="Courier New" w:cs="Courier New" w:eastAsia="Courier New" w:hAnsi="Courier New"/>
                <w:color w:val="D4D4D4"/>
                <w:sz w:val="18"/>
                <w:szCs w:val="18"/>
              </w:rPr>
              <w:t xml:space="preserve">  │  srv-ntp-01 (chrony)                                │</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                  │</w:t>
            </w:r>
          </w:p>
          <w:p>
            <w:pPr>
              <w:spacing w:after="40" w:before="0"/>
            </w:pPr>
            <w:r>
              <w:rPr>
                <w:rFonts w:ascii="Courier New" w:cs="Courier New" w:eastAsia="Courier New" w:hAnsi="Courier New"/>
                <w:color w:val="D4D4D4"/>
                <w:sz w:val="18"/>
                <w:szCs w:val="18"/>
              </w:rPr>
              <w:t xml:space="preserve">               ▼                  ▼</w:t>
            </w:r>
          </w:p>
          <w:p>
            <w:pPr>
              <w:spacing w:after="40" w:before="0"/>
            </w:pPr>
            <w:r>
              <w:rPr>
                <w:rFonts w:ascii="Courier New" w:cs="Courier New" w:eastAsia="Courier New" w:hAnsi="Courier New"/>
                <w:color w:val="D4D4D4"/>
                <w:sz w:val="18"/>
                <w:szCs w:val="18"/>
              </w:rPr>
              <w:t xml:space="preserve">  ┌────────────────────┐  ┌───────────────────────────┐</w:t>
            </w:r>
          </w:p>
          <w:p>
            <w:pPr>
              <w:spacing w:after="40" w:before="0"/>
            </w:pPr>
            <w:r>
              <w:rPr>
                <w:rFonts w:ascii="Courier New" w:cs="Courier New" w:eastAsia="Courier New" w:hAnsi="Courier New"/>
                <w:color w:val="D4D4D4"/>
                <w:sz w:val="18"/>
                <w:szCs w:val="18"/>
              </w:rPr>
              <w:t xml:space="preserve">  │  Usuarios          │  │  Administración            │</w:t>
            </w:r>
          </w:p>
          <w:p>
            <w:pPr>
              <w:spacing w:after="40" w:before="0"/>
            </w:pPr>
            <w:r>
              <w:rPr>
                <w:rFonts w:ascii="Courier New" w:cs="Courier New" w:eastAsia="Courier New" w:hAnsi="Courier New"/>
                <w:color w:val="D4D4D4"/>
                <w:sz w:val="18"/>
                <w:szCs w:val="18"/>
              </w:rPr>
              <w:t xml:space="preserve">  │  VLAN 30           │  │  VLAN 20                  │</w:t>
            </w:r>
          </w:p>
          <w:p>
            <w:pPr>
              <w:spacing w:after="40" w:before="0"/>
            </w:pPr>
            <w:r>
              <w:rPr>
                <w:rFonts w:ascii="Courier New" w:cs="Courier New" w:eastAsia="Courier New" w:hAnsi="Courier New"/>
                <w:color w:val="D4D4D4"/>
                <w:sz w:val="18"/>
                <w:szCs w:val="18"/>
              </w:rPr>
              <w:t xml:space="preserve">  │  (10.0.30.0/24)    │  │  (10.0.20.0/24)           │</w:t>
            </w:r>
          </w:p>
          <w:p>
            <w:pPr>
              <w:spacing w:after="40" w:before="0"/>
            </w:pPr>
            <w:r>
              <w:rPr>
                <w:rFonts w:ascii="Courier New" w:cs="Courier New" w:eastAsia="Courier New" w:hAnsi="Courier New"/>
                <w:color w:val="D4D4D4"/>
                <w:sz w:val="18"/>
                <w:szCs w:val="18"/>
              </w:rPr>
              <w:t xml:space="preserve">  │  SISGESTION/SUMA   │  │  SSH (2222) · Monitoreo   │</w:t>
            </w:r>
          </w:p>
          <w:p>
            <w:pPr>
              <w:spacing w:after="40" w:before="0"/>
            </w:pPr>
            <w:r>
              <w:rPr>
                <w:rFonts w:ascii="Courier New" w:cs="Courier New" w:eastAsia="Courier New" w:hAnsi="Courier New"/>
                <w:color w:val="D4D4D4"/>
                <w:sz w:val="18"/>
                <w:szCs w:val="18"/>
              </w:rPr>
              <w:t xml:space="preserve">  └────────────────────┘  └───────────────────────────┘</w:t>
            </w:r>
          </w:p>
        </w:tc>
      </w:tr>
    </w:tbl>
    <w:p>
      <w:pPr>
        <w:spacing w:after="120" w:before="0"/>
      </w:pPr>
    </w:p>
    <w:p>
      <w:pPr>
        <w:spacing w:after="80" w:before="240"/>
      </w:pPr>
      <w:r>
        <w:rPr>
          <w:rFonts w:ascii="Arial" w:cs="Arial" w:eastAsia="Arial" w:hAnsi="Arial"/>
          <w:b/>
          <w:bCs/>
          <w:color w:val="2E75B6"/>
          <w:sz w:val="24"/>
          <w:szCs w:val="24"/>
        </w:rPr>
        <w:t xml:space="preserve">5.4 Requerimientos de disponibilidad y respaldo</w:t>
      </w:r>
    </w:p>
    <w:p>
      <w:pPr>
        <w:spacing w:after="140" w:before="0"/>
        <w:jc w:val="both"/>
      </w:pPr>
      <w:r>
        <w:rPr>
          <w:rFonts w:ascii="Arial" w:cs="Arial" w:eastAsia="Arial" w:hAnsi="Arial"/>
          <w:color w:val="000000"/>
          <w:sz w:val="20"/>
          <w:szCs w:val="20"/>
        </w:rPr>
        <w:t xml:space="preserve">Dado que el RUV es la fuente única de información oficial sobre la población víctima en Colombia, una interrupción de servicio afecta directamente el ejercicio de derechos de ciudadanos en situación de vulnerabilidad. Por ello se requieren las siguientes garantías técnicas:</w:t>
      </w:r>
    </w:p>
    <w:p>
      <w:pPr>
        <w:spacing w:after="60" w:before="0"/>
      </w:pPr>
    </w:p>
    <w:p>
      <w:pPr>
        <w:pStyle w:val="ListParagraph"/>
        <w:numPr>
          <w:ilvl w:val="0"/>
          <w:numId w:val="2"/>
        </w:numPr>
        <w:spacing w:after="80" w:before="0"/>
      </w:pPr>
      <w:r>
        <w:rPr>
          <w:rFonts w:ascii="Arial" w:cs="Arial" w:eastAsia="Arial" w:hAnsi="Arial"/>
          <w:sz w:val="20"/>
          <w:szCs w:val="20"/>
        </w:rPr>
        <w:t xml:space="preserve">RAID 1 en el servidor de base de datos (espejado) para tolerancia a fallos de disco sin pérdida de datos.</w:t>
      </w:r>
    </w:p>
    <w:p>
      <w:pPr>
        <w:pStyle w:val="ListParagraph"/>
        <w:numPr>
          <w:ilvl w:val="0"/>
          <w:numId w:val="2"/>
        </w:numPr>
        <w:spacing w:after="80" w:before="0"/>
      </w:pPr>
      <w:r>
        <w:rPr>
          <w:rFonts w:ascii="Arial" w:cs="Arial" w:eastAsia="Arial" w:hAnsi="Arial"/>
          <w:sz w:val="20"/>
          <w:szCs w:val="20"/>
        </w:rPr>
        <w:t xml:space="preserve">Backups diarios automáticos del dump de PostgreSQL (pg_dump) hacia volumen separado montado sobre LVM.</w:t>
      </w:r>
    </w:p>
    <w:p>
      <w:pPr>
        <w:pStyle w:val="ListParagraph"/>
        <w:numPr>
          <w:ilvl w:val="0"/>
          <w:numId w:val="2"/>
        </w:numPr>
        <w:spacing w:after="80" w:before="0"/>
      </w:pPr>
      <w:r>
        <w:rPr>
          <w:rFonts w:ascii="Arial" w:cs="Arial" w:eastAsia="Arial" w:hAnsi="Arial"/>
          <w:sz w:val="20"/>
          <w:szCs w:val="20"/>
        </w:rPr>
        <w:t xml:space="preserve">Firewall perimetral con política DENY-all por defecto y apertura únicamente de los puertos estrictamente necesarios por proceso.</w:t>
      </w:r>
    </w:p>
    <w:p>
      <w:pPr>
        <w:pStyle w:val="ListParagraph"/>
        <w:numPr>
          <w:ilvl w:val="0"/>
          <w:numId w:val="2"/>
        </w:numPr>
        <w:spacing w:after="80" w:before="0"/>
      </w:pPr>
      <w:r>
        <w:rPr>
          <w:rFonts w:ascii="Arial" w:cs="Arial" w:eastAsia="Arial" w:hAnsi="Arial"/>
          <w:sz w:val="20"/>
          <w:szCs w:val="20"/>
        </w:rPr>
        <w:t xml:space="preserve">Servidor NTP propio para garantizar que todos los registros de eventos y transacciones tengan marca de tiempo confiable y auditable (requisito de trazabilidad del SIG, ISO 9001:2015 cláusula 7.5).</w:t>
      </w:r>
    </w:p>
    <w:p>
      <w:pPr>
        <w:pStyle w:val="ListParagraph"/>
        <w:numPr>
          <w:ilvl w:val="0"/>
          <w:numId w:val="2"/>
        </w:numPr>
        <w:spacing w:after="80" w:before="0"/>
      </w:pPr>
      <w:r>
        <w:rPr>
          <w:rFonts w:ascii="Arial" w:cs="Arial" w:eastAsia="Arial" w:hAnsi="Arial"/>
          <w:sz w:val="20"/>
          <w:szCs w:val="20"/>
        </w:rPr>
        <w:t xml:space="preserve">Servidor de archivos Samba con permisos por grupo funcional (g_admins, g_web, g_db, g_files) alineados con los procesos del SIG.</w:t>
      </w:r>
    </w:p>
    <w:p>
      <w:pPr>
        <w:pStyle w:val="ListParagraph"/>
        <w:numPr>
          <w:ilvl w:val="0"/>
          <w:numId w:val="2"/>
        </w:numPr>
        <w:spacing w:after="80" w:before="0"/>
      </w:pPr>
      <w:r>
        <w:rPr>
          <w:rFonts w:ascii="Arial" w:cs="Arial" w:eastAsia="Arial" w:hAnsi="Arial"/>
          <w:sz w:val="20"/>
          <w:szCs w:val="20"/>
        </w:rPr>
        <w:t xml:space="preserve">Balanceo de carga Nginx (upstream) con dos instancias del servidor web para alta disponibilidad del canal de atención ciudadana.</w:t>
      </w:r>
    </w:p>
    <w:p>
      <w:pPr>
        <w:spacing w:after="120" w:before="0"/>
      </w:pPr>
    </w:p>
    <w:p>
      <w:pPr>
        <w:pBdr>
          <w:bottom w:val="single" w:color="2E75B6" w:sz="8" w:space="4"/>
        </w:pBdr>
        <w:spacing w:after="120" w:before="360"/>
      </w:pPr>
      <w:r>
        <w:rPr>
          <w:rFonts w:ascii="Arial" w:cs="Arial" w:eastAsia="Arial" w:hAnsi="Arial"/>
          <w:b/>
          <w:bCs/>
          <w:color w:val="1F3864"/>
          <w:sz w:val="28"/>
          <w:szCs w:val="28"/>
        </w:rPr>
        <w:t xml:space="preserve">6. Síntesis y conclusiones para el equipo</w:t>
      </w:r>
    </w:p>
    <w:p>
      <w:pPr>
        <w:spacing w:after="140" w:before="0"/>
        <w:jc w:val="both"/>
      </w:pPr>
      <w:r>
        <w:rPr>
          <w:rFonts w:ascii="Arial" w:cs="Arial" w:eastAsia="Arial" w:hAnsi="Arial"/>
          <w:color w:val="000000"/>
          <w:sz w:val="20"/>
          <w:szCs w:val="20"/>
        </w:rPr>
        <w:t xml:space="preserve">Este análisis confirma que la infraestructura TI del proyecto debe reflejar la naturaleza crítica y sensible de la Unidad de Víctimas. Los datos del RUV son datos personales de personas en condición de vulnerabilidad, protegidos por la Ley 1581 de 2012 (Habeas Data) y la Ley 1448 de 2011. Esto significa que la segmentación de red, el firewall, la gestión de usuarios con principio de mínimo privilegio y los backups automatizados no son elementos opcionales, sino requisitos de obligatorio cumplimiento.</w:t>
      </w:r>
    </w:p>
    <w:p>
      <w:pPr>
        <w:spacing w:after="140" w:before="0"/>
        <w:jc w:val="both"/>
      </w:pPr>
      <w:r>
        <w:rPr>
          <w:rFonts w:ascii="Arial" w:cs="Arial" w:eastAsia="Arial" w:hAnsi="Arial"/>
          <w:color w:val="000000"/>
          <w:sz w:val="20"/>
          <w:szCs w:val="20"/>
        </w:rPr>
        <w:t xml:space="preserve">El SIG de la Unidad, adoptado bajo la NTC ISO 9001:2015 y el MIPG, exige además evidencia documental de los procesos (cláusula 7.5), trazabilidad mediante registros con marca de tiempo (NTP), y continuidad operacional. Cada componente de la infraestructura diseñada debe poder justificarse con referencia a uno o más procesos del mapa de procesos del SIG.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Insumos que genera RED-1</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Tareas que desbloquea</w:t>
            </w:r>
          </w:p>
        </w:tc>
      </w:tr>
      <w:tr>
        <w:tc>
          <w:tcPr>
            <w:tcW w:type="dxa" w:w="468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Tabla de VLANs con justificación institucional (sección 5.1)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RED-2 — Juan Diego García: diseño de segmentación y tabla de IPs</w:t>
            </w:r>
          </w:p>
        </w:tc>
      </w:tr>
      <w:tr>
        <w:tc>
          <w:tcPr>
            <w:tcW w:type="dxa" w:w="468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Catálogo de servidores requeridos con justificación (sección 5.2)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RED-3 — David Pedraza: diagrama de red en Packet Tracer / draw.io</w:t>
            </w:r>
          </w:p>
        </w:tc>
      </w:tr>
      <w:tr>
        <w:tc>
          <w:tcPr>
            <w:tcW w:type="dxa" w:w="468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Flujos de tráfico entre zonas (sección 5.3)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RED-4 — Daniel Narváez: definición de roles de servidores</w:t>
            </w:r>
          </w:p>
        </w:tc>
      </w:tr>
      <w:tr>
        <w:tc>
          <w:tcPr>
            <w:tcW w:type="dxa" w:w="468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Requerimientos de disponibilidad y política CIA (secciones 4 y 5.4)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Sprint 3 — SEG-1: configuración de firewall / SEG-2: gestión de usuarios</w:t>
            </w:r>
          </w:p>
        </w:tc>
      </w:tr>
    </w:tbl>
    <w:p>
      <w:pPr>
        <w:spacing w:after="160" w:before="0"/>
      </w:pPr>
    </w:p>
    <w:p>
      <w:pPr>
        <w:spacing w:after="0" w:before="80"/>
        <w:jc w:val="center"/>
      </w:pPr>
      <w:r>
        <w:rPr>
          <w:rFonts w:ascii="Arial" w:cs="Arial" w:eastAsia="Arial" w:hAnsi="Arial"/>
          <w:i/>
          <w:iCs/>
          <w:color w:val="404040"/>
          <w:sz w:val="18"/>
          <w:szCs w:val="18"/>
        </w:rPr>
        <w:t xml:space="preserve">— Fin del documento RED-1 —</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rFonts w:ascii="Arial" w:cs="Arial" w:eastAsia="Arial" w:hAnsi="Arial"/>
        <w:color w:val="404040"/>
        <w:sz w:val="16"/>
        <w:szCs w:val="16"/>
      </w:rPr>
      <w:t xml:space="preserve">Proyecto Final — Administración de Infraestructura TI | Universidad del Quindío | 2026-1    </w:t>
    </w:r>
    <w:r>
      <w:rPr>
        <w:rFonts w:ascii="Arial" w:cs="Arial" w:eastAsia="Arial" w:hAnsi="Arial"/>
        <w:color w:val="404040"/>
        <w:sz w:val="16"/>
        <w:szCs w:val="16"/>
      </w:rPr>
      <w:t xml:space="preserve">Pág.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Borders>
            <w:top w:val="none" w:color="FFFFFF" w:sz="0"/>
            <w:left w:val="none" w:color="FFFFFF" w:sz="0"/>
            <w:bottom w:val="single" w:color="2E75B6" w:sz="1"/>
            <w:right w:val="none" w:color="FFFFFF" w:sz="0"/>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RED-1 — Investigar contexto TI Unidad de Víctimas</w:t>
          </w:r>
        </w:p>
      </w:tc>
      <w:tc>
        <w:tcPr>
          <w:tcBorders>
            <w:top w:val="none" w:color="FFFFFF" w:sz="0"/>
            <w:left w:val="none" w:color="FFFFFF" w:sz="0"/>
            <w:bottom w:val="single" w:color="2E75B6" w:sz="1"/>
            <w:right w:val="none" w:color="FFFFFF" w:sz="0"/>
          </w:tcBorders>
          <w:shd w:fill="2E75B6" w:val="clear"/>
          <w:tcMar>
            <w:top w:type="dxa" w:w="60"/>
            <w:left w:type="dxa" w:w="120"/>
            <w:bottom w:type="dxa" w:w="60"/>
            <w:right w:type="dxa" w:w="120"/>
          </w:tcMar>
        </w:tcPr>
        <w:p>
          <w:pPr>
            <w:jc w:val="right"/>
          </w:pPr>
          <w:r>
            <w:rPr>
              <w:rFonts w:ascii="Arial" w:cs="Arial" w:eastAsia="Arial" w:hAnsi="Arial"/>
              <w:color w:val="FFFFFF"/>
              <w:sz w:val="16"/>
              <w:szCs w:val="16"/>
            </w:rPr>
            <w:t xml:space="preserve">Sprint 1 — Semana 12 | 2026-1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2026-04-29T23:24:04.975Z</dcterms:created>
  <dcterms:modified xsi:type="dcterms:W3CDTF">2026-04-29T23:24:04.976Z</dcterms:modified>
</cp:coreProperties>
</file>

<file path=docProps/custom.xml><?xml version="1.0" encoding="utf-8"?>
<Properties xmlns="http://schemas.openxmlformats.org/officeDocument/2006/custom-properties" xmlns:vt="http://schemas.openxmlformats.org/officeDocument/2006/docPropsVTypes"/>
</file>