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22D" w:rsidRDefault="00A208FC" w:rsidP="00A208FC">
      <w:pPr>
        <w:pStyle w:val="Heading1"/>
      </w:pPr>
      <w:r>
        <w:t>Estimate / calculate Tuition costs</w:t>
      </w:r>
    </w:p>
    <w:p w:rsidR="00A208FC" w:rsidRDefault="00A208FC" w:rsidP="00A208FC">
      <w:hyperlink r:id="rId5" w:history="1">
        <w:r w:rsidRPr="00E10274">
          <w:rPr>
            <w:rStyle w:val="Hyperlink"/>
          </w:rPr>
          <w:t>https://cce.ais.psu.edu/tuition-calculator-ui/#/</w:t>
        </w:r>
      </w:hyperlink>
    </w:p>
    <w:p w:rsidR="00A208FC" w:rsidRDefault="00A208FC" w:rsidP="00A208FC">
      <w:pPr>
        <w:pStyle w:val="Heading1"/>
      </w:pPr>
      <w:r>
        <w:t>Where the tuition money goes</w:t>
      </w:r>
    </w:p>
    <w:p w:rsidR="00A208FC" w:rsidRPr="00A208FC" w:rsidRDefault="00A208FC" w:rsidP="00A208FC">
      <w:pPr>
        <w:spacing w:line="240" w:lineRule="auto"/>
        <w:rPr>
          <w:rFonts w:ascii="Times New Roman" w:eastAsia="Times New Roman" w:hAnsi="Times New Roman" w:cs="Times New Roman"/>
          <w:sz w:val="24"/>
          <w:szCs w:val="24"/>
        </w:rPr>
      </w:pPr>
      <w:r w:rsidRPr="00A208FC">
        <w:rPr>
          <w:rFonts w:ascii="Tahoma" w:eastAsia="Times New Roman" w:hAnsi="Tahoma" w:cs="Tahoma"/>
          <w:b/>
          <w:bCs/>
          <w:color w:val="39516C"/>
          <w:sz w:val="24"/>
          <w:szCs w:val="24"/>
        </w:rPr>
        <w:t>Summary</w:t>
      </w:r>
      <w:r w:rsidRPr="00A208FC">
        <w:rPr>
          <w:rFonts w:ascii="Arial" w:eastAsia="Times New Roman" w:hAnsi="Arial" w:cs="Arial"/>
          <w:color w:val="003366"/>
          <w:sz w:val="24"/>
          <w:szCs w:val="24"/>
          <w:shd w:val="clear" w:color="auto" w:fill="FFFFFF"/>
        </w:rPr>
        <w:t> </w:t>
      </w:r>
    </w:p>
    <w:p w:rsidR="00A208FC" w:rsidRPr="00A208FC" w:rsidRDefault="00A208FC" w:rsidP="00A208FC">
      <w:pPr>
        <w:spacing w:line="240" w:lineRule="auto"/>
        <w:rPr>
          <w:rFonts w:ascii="Arial" w:eastAsia="Times New Roman" w:hAnsi="Arial" w:cs="Arial"/>
          <w:color w:val="003366"/>
          <w:sz w:val="24"/>
          <w:szCs w:val="24"/>
        </w:rPr>
      </w:pPr>
      <w:r w:rsidRPr="00A208FC">
        <w:rPr>
          <w:rFonts w:ascii="Arial" w:eastAsia="Times New Roman" w:hAnsi="Arial" w:cs="Arial"/>
          <w:color w:val="003366"/>
          <w:sz w:val="24"/>
          <w:szCs w:val="24"/>
        </w:rPr>
        <w:t>Tuition is the primary income source for the university’s general funds budget. The general funds budget, representing approximately one-half of Penn State's total operating budget, covers the core of the University's teaching, research, and service efforts. General funds also encompass academic and administrative support and maintenance of the physical plant. Income to support the general funds budget comes from: tuition and fees paid by the student; state appropriations; and other income including facilities administration, investment income, and sales and services of departments.</w:t>
      </w:r>
    </w:p>
    <w:p w:rsidR="00A208FC" w:rsidRPr="00A208FC" w:rsidRDefault="00A208FC" w:rsidP="00A208FC">
      <w:pPr>
        <w:spacing w:line="240" w:lineRule="auto"/>
        <w:rPr>
          <w:rFonts w:ascii="Arial" w:eastAsia="Times New Roman" w:hAnsi="Arial" w:cs="Arial"/>
          <w:color w:val="003366"/>
          <w:sz w:val="24"/>
          <w:szCs w:val="24"/>
        </w:rPr>
      </w:pPr>
      <w:bookmarkStart w:id="0" w:name="instruction"/>
      <w:r w:rsidRPr="00A208FC">
        <w:rPr>
          <w:rFonts w:ascii="Tahoma" w:eastAsia="Times New Roman" w:hAnsi="Tahoma" w:cs="Tahoma"/>
          <w:b/>
          <w:bCs/>
          <w:color w:val="39516C"/>
          <w:sz w:val="24"/>
          <w:szCs w:val="24"/>
        </w:rPr>
        <w:t>Instruction</w:t>
      </w:r>
      <w:bookmarkEnd w:id="0"/>
      <w:r w:rsidRPr="00A208FC">
        <w:rPr>
          <w:rFonts w:ascii="Arial" w:eastAsia="Times New Roman" w:hAnsi="Arial" w:cs="Arial"/>
          <w:color w:val="003366"/>
          <w:sz w:val="24"/>
          <w:szCs w:val="24"/>
        </w:rPr>
        <w:t> </w:t>
      </w:r>
      <w:r w:rsidRPr="00A208FC">
        <w:rPr>
          <w:rFonts w:ascii="Arial" w:eastAsia="Times New Roman" w:hAnsi="Arial" w:cs="Arial"/>
          <w:color w:val="003366"/>
          <w:sz w:val="24"/>
          <w:szCs w:val="24"/>
        </w:rPr>
        <w:br/>
      </w:r>
      <w:r w:rsidRPr="00A208FC">
        <w:rPr>
          <w:rFonts w:ascii="Arial" w:eastAsia="Times New Roman" w:hAnsi="Arial" w:cs="Arial"/>
          <w:color w:val="39516C"/>
          <w:sz w:val="24"/>
          <w:szCs w:val="24"/>
        </w:rPr>
        <w:t>Includes all activities that are part of the instruction program. This category excludes expenditures for academic administration when the primary assignment is administration.</w:t>
      </w:r>
    </w:p>
    <w:p w:rsidR="00A208FC" w:rsidRPr="00A208FC" w:rsidRDefault="00A208FC" w:rsidP="00A208FC">
      <w:pPr>
        <w:spacing w:line="240" w:lineRule="auto"/>
        <w:rPr>
          <w:rFonts w:ascii="Arial" w:eastAsia="Times New Roman" w:hAnsi="Arial" w:cs="Arial"/>
          <w:color w:val="003366"/>
          <w:sz w:val="24"/>
          <w:szCs w:val="24"/>
        </w:rPr>
      </w:pPr>
      <w:bookmarkStart w:id="1" w:name="Research"/>
      <w:r w:rsidRPr="00A208FC">
        <w:rPr>
          <w:rFonts w:ascii="Tahoma" w:eastAsia="Times New Roman" w:hAnsi="Tahoma" w:cs="Tahoma"/>
          <w:b/>
          <w:bCs/>
          <w:color w:val="39516C"/>
          <w:sz w:val="24"/>
          <w:szCs w:val="24"/>
        </w:rPr>
        <w:t>Research</w:t>
      </w:r>
      <w:bookmarkEnd w:id="1"/>
      <w:r w:rsidRPr="00A208FC">
        <w:rPr>
          <w:rFonts w:ascii="Tahoma" w:eastAsia="Times New Roman" w:hAnsi="Tahoma" w:cs="Tahoma"/>
          <w:b/>
          <w:bCs/>
          <w:color w:val="39516C"/>
          <w:sz w:val="24"/>
          <w:szCs w:val="24"/>
        </w:rPr>
        <w:t> </w:t>
      </w:r>
      <w:r w:rsidRPr="00A208FC">
        <w:rPr>
          <w:rFonts w:ascii="Arial" w:eastAsia="Times New Roman" w:hAnsi="Arial" w:cs="Arial"/>
          <w:color w:val="003366"/>
          <w:sz w:val="24"/>
          <w:szCs w:val="24"/>
        </w:rPr>
        <w:br/>
      </w:r>
      <w:r w:rsidRPr="00A208FC">
        <w:rPr>
          <w:rFonts w:ascii="Arial" w:eastAsia="Times New Roman" w:hAnsi="Arial" w:cs="Arial"/>
          <w:color w:val="39516C"/>
          <w:sz w:val="24"/>
          <w:szCs w:val="24"/>
        </w:rPr>
        <w:t>Includes all activities specifically organized to produce research outcomes, whether commissioned by an agency external to the institution or separately budgeted by an organizational unit within the institution.</w:t>
      </w:r>
    </w:p>
    <w:p w:rsidR="00A208FC" w:rsidRPr="00A208FC" w:rsidRDefault="00A208FC" w:rsidP="00A208FC">
      <w:pPr>
        <w:spacing w:line="240" w:lineRule="auto"/>
        <w:rPr>
          <w:rFonts w:ascii="Arial" w:eastAsia="Times New Roman" w:hAnsi="Arial" w:cs="Arial"/>
          <w:color w:val="003366"/>
          <w:sz w:val="24"/>
          <w:szCs w:val="24"/>
        </w:rPr>
      </w:pPr>
      <w:bookmarkStart w:id="2" w:name="publicservice"/>
      <w:r w:rsidRPr="00A208FC">
        <w:rPr>
          <w:rFonts w:ascii="Tahoma" w:eastAsia="Times New Roman" w:hAnsi="Tahoma" w:cs="Tahoma"/>
          <w:b/>
          <w:bCs/>
          <w:color w:val="39516C"/>
          <w:sz w:val="24"/>
          <w:szCs w:val="24"/>
        </w:rPr>
        <w:t>Public Service</w:t>
      </w:r>
      <w:bookmarkEnd w:id="2"/>
      <w:r w:rsidRPr="00A208FC">
        <w:rPr>
          <w:rFonts w:ascii="Tahoma" w:eastAsia="Times New Roman" w:hAnsi="Tahoma" w:cs="Tahoma"/>
          <w:b/>
          <w:bCs/>
          <w:color w:val="39516C"/>
          <w:sz w:val="24"/>
          <w:szCs w:val="24"/>
        </w:rPr>
        <w:t> </w:t>
      </w:r>
      <w:r w:rsidRPr="00A208FC">
        <w:rPr>
          <w:rFonts w:ascii="Arial" w:eastAsia="Times New Roman" w:hAnsi="Arial" w:cs="Arial"/>
          <w:color w:val="003366"/>
          <w:sz w:val="24"/>
          <w:szCs w:val="24"/>
        </w:rPr>
        <w:br/>
      </w:r>
      <w:r w:rsidRPr="00A208FC">
        <w:rPr>
          <w:rFonts w:ascii="Arial" w:eastAsia="Times New Roman" w:hAnsi="Arial" w:cs="Arial"/>
          <w:color w:val="39516C"/>
          <w:sz w:val="24"/>
          <w:szCs w:val="24"/>
        </w:rPr>
        <w:t>Includes funds expended for credit and non-credit distance education courses; non-instructional services beneficial to individuals and groups external to the institution such as community service programs, cooperative extension services, conferences, institutes, references bureaus, radio and television, consulting, and similar non-instructional services to particular sectors of the community.</w:t>
      </w:r>
    </w:p>
    <w:p w:rsidR="00A208FC" w:rsidRPr="00A208FC" w:rsidRDefault="00A208FC" w:rsidP="00A208FC">
      <w:pPr>
        <w:spacing w:line="240" w:lineRule="auto"/>
        <w:rPr>
          <w:rFonts w:ascii="Arial" w:eastAsia="Times New Roman" w:hAnsi="Arial" w:cs="Arial"/>
          <w:color w:val="003366"/>
          <w:sz w:val="24"/>
          <w:szCs w:val="24"/>
        </w:rPr>
      </w:pPr>
      <w:bookmarkStart w:id="3" w:name="institsupport"/>
      <w:r w:rsidRPr="00A208FC">
        <w:rPr>
          <w:rFonts w:ascii="Tahoma" w:eastAsia="Times New Roman" w:hAnsi="Tahoma" w:cs="Tahoma"/>
          <w:b/>
          <w:bCs/>
          <w:color w:val="39516C"/>
          <w:sz w:val="24"/>
          <w:szCs w:val="24"/>
        </w:rPr>
        <w:t>Institutional Support</w:t>
      </w:r>
      <w:bookmarkEnd w:id="3"/>
      <w:r w:rsidRPr="00A208FC">
        <w:rPr>
          <w:rFonts w:ascii="Tahoma" w:eastAsia="Times New Roman" w:hAnsi="Tahoma" w:cs="Tahoma"/>
          <w:b/>
          <w:bCs/>
          <w:color w:val="39516C"/>
          <w:sz w:val="24"/>
          <w:szCs w:val="24"/>
        </w:rPr>
        <w:t> </w:t>
      </w:r>
    </w:p>
    <w:p w:rsidR="00A208FC" w:rsidRPr="00A208FC" w:rsidRDefault="00A208FC" w:rsidP="00A208FC">
      <w:pPr>
        <w:spacing w:line="240" w:lineRule="auto"/>
        <w:rPr>
          <w:rFonts w:ascii="Arial" w:eastAsia="Times New Roman" w:hAnsi="Arial" w:cs="Arial"/>
          <w:color w:val="003366"/>
          <w:sz w:val="24"/>
          <w:szCs w:val="24"/>
        </w:rPr>
      </w:pPr>
      <w:r w:rsidRPr="00A208FC">
        <w:rPr>
          <w:rFonts w:ascii="Tahoma" w:eastAsia="Times New Roman" w:hAnsi="Tahoma" w:cs="Tahoma"/>
          <w:color w:val="39516C"/>
          <w:sz w:val="24"/>
          <w:szCs w:val="24"/>
        </w:rPr>
        <w:t>Institutional Support includes: </w:t>
      </w:r>
    </w:p>
    <w:p w:rsidR="00A208FC" w:rsidRPr="00A208FC" w:rsidRDefault="00A208FC" w:rsidP="00A208FC">
      <w:pPr>
        <w:numPr>
          <w:ilvl w:val="0"/>
          <w:numId w:val="1"/>
        </w:numPr>
        <w:spacing w:before="100" w:beforeAutospacing="1" w:after="100" w:afterAutospacing="1" w:line="240" w:lineRule="auto"/>
        <w:rPr>
          <w:rFonts w:ascii="Tahoma" w:eastAsia="Times New Roman" w:hAnsi="Tahoma" w:cs="Tahoma"/>
          <w:color w:val="39516C"/>
          <w:sz w:val="24"/>
          <w:szCs w:val="24"/>
        </w:rPr>
      </w:pPr>
      <w:r w:rsidRPr="00A208FC">
        <w:rPr>
          <w:rFonts w:ascii="Tahoma" w:eastAsia="Times New Roman" w:hAnsi="Tahoma" w:cs="Tahoma"/>
          <w:color w:val="39516C"/>
          <w:sz w:val="24"/>
          <w:szCs w:val="24"/>
        </w:rPr>
        <w:t>central executive - level activities concerned with management and long-range planning of the entire institution</w:t>
      </w:r>
    </w:p>
    <w:p w:rsidR="00A208FC" w:rsidRPr="00A208FC" w:rsidRDefault="00A208FC" w:rsidP="00A208FC">
      <w:pPr>
        <w:numPr>
          <w:ilvl w:val="0"/>
          <w:numId w:val="1"/>
        </w:numPr>
        <w:spacing w:before="100" w:beforeAutospacing="1" w:after="100" w:afterAutospacing="1" w:line="240" w:lineRule="auto"/>
        <w:rPr>
          <w:rFonts w:ascii="Tahoma" w:eastAsia="Times New Roman" w:hAnsi="Tahoma" w:cs="Tahoma"/>
          <w:color w:val="39516C"/>
          <w:sz w:val="24"/>
          <w:szCs w:val="24"/>
        </w:rPr>
      </w:pPr>
      <w:r w:rsidRPr="00A208FC">
        <w:rPr>
          <w:rFonts w:ascii="Tahoma" w:eastAsia="Times New Roman" w:hAnsi="Tahoma" w:cs="Tahoma"/>
          <w:color w:val="39516C"/>
          <w:sz w:val="24"/>
          <w:szCs w:val="24"/>
        </w:rPr>
        <w:t>fiscal operations</w:t>
      </w:r>
    </w:p>
    <w:p w:rsidR="00A208FC" w:rsidRPr="00A208FC" w:rsidRDefault="00A208FC" w:rsidP="00A208FC">
      <w:pPr>
        <w:numPr>
          <w:ilvl w:val="0"/>
          <w:numId w:val="1"/>
        </w:numPr>
        <w:spacing w:before="100" w:beforeAutospacing="1" w:after="100" w:afterAutospacing="1" w:line="240" w:lineRule="auto"/>
        <w:rPr>
          <w:rFonts w:ascii="Tahoma" w:eastAsia="Times New Roman" w:hAnsi="Tahoma" w:cs="Tahoma"/>
          <w:color w:val="39516C"/>
          <w:sz w:val="24"/>
          <w:szCs w:val="24"/>
        </w:rPr>
      </w:pPr>
      <w:r w:rsidRPr="00A208FC">
        <w:rPr>
          <w:rFonts w:ascii="Tahoma" w:eastAsia="Times New Roman" w:hAnsi="Tahoma" w:cs="Tahoma"/>
          <w:color w:val="39516C"/>
          <w:sz w:val="24"/>
          <w:szCs w:val="24"/>
        </w:rPr>
        <w:t>personnel administration</w:t>
      </w:r>
    </w:p>
    <w:p w:rsidR="00A208FC" w:rsidRPr="00A208FC" w:rsidRDefault="00A208FC" w:rsidP="00A208FC">
      <w:pPr>
        <w:numPr>
          <w:ilvl w:val="0"/>
          <w:numId w:val="1"/>
        </w:numPr>
        <w:spacing w:before="100" w:beforeAutospacing="1" w:after="100" w:afterAutospacing="1" w:line="240" w:lineRule="auto"/>
        <w:rPr>
          <w:rFonts w:ascii="Tahoma" w:eastAsia="Times New Roman" w:hAnsi="Tahoma" w:cs="Tahoma"/>
          <w:color w:val="39516C"/>
          <w:sz w:val="24"/>
          <w:szCs w:val="24"/>
        </w:rPr>
      </w:pPr>
      <w:r w:rsidRPr="00A208FC">
        <w:rPr>
          <w:rFonts w:ascii="Tahoma" w:eastAsia="Times New Roman" w:hAnsi="Tahoma" w:cs="Tahoma"/>
          <w:color w:val="39516C"/>
          <w:sz w:val="24"/>
          <w:szCs w:val="24"/>
        </w:rPr>
        <w:t>logistical activities that provide procurement, storerooms, safety, and security</w:t>
      </w:r>
    </w:p>
    <w:p w:rsidR="00A208FC" w:rsidRPr="00A208FC" w:rsidRDefault="00A208FC" w:rsidP="00A208FC">
      <w:pPr>
        <w:numPr>
          <w:ilvl w:val="0"/>
          <w:numId w:val="1"/>
        </w:numPr>
        <w:spacing w:before="100" w:beforeAutospacing="1" w:after="100" w:afterAutospacing="1" w:line="240" w:lineRule="auto"/>
        <w:rPr>
          <w:rFonts w:ascii="Tahoma" w:eastAsia="Times New Roman" w:hAnsi="Tahoma" w:cs="Tahoma"/>
          <w:color w:val="39516C"/>
          <w:sz w:val="24"/>
          <w:szCs w:val="24"/>
        </w:rPr>
      </w:pPr>
      <w:r w:rsidRPr="00A208FC">
        <w:rPr>
          <w:rFonts w:ascii="Tahoma" w:eastAsia="Times New Roman" w:hAnsi="Tahoma" w:cs="Tahoma"/>
          <w:color w:val="39516C"/>
          <w:sz w:val="24"/>
          <w:szCs w:val="24"/>
        </w:rPr>
        <w:t>support services to faculty and staff that are not operated as auxiliary enterprises</w:t>
      </w:r>
    </w:p>
    <w:p w:rsidR="00A208FC" w:rsidRPr="00A208FC" w:rsidRDefault="00A208FC" w:rsidP="00A208FC">
      <w:pPr>
        <w:numPr>
          <w:ilvl w:val="0"/>
          <w:numId w:val="1"/>
        </w:numPr>
        <w:spacing w:before="100" w:beforeAutospacing="1" w:after="100" w:afterAutospacing="1" w:line="240" w:lineRule="auto"/>
        <w:rPr>
          <w:rFonts w:ascii="Tahoma" w:eastAsia="Times New Roman" w:hAnsi="Tahoma" w:cs="Tahoma"/>
          <w:color w:val="39516C"/>
          <w:sz w:val="24"/>
          <w:szCs w:val="24"/>
        </w:rPr>
      </w:pPr>
      <w:r w:rsidRPr="00A208FC">
        <w:rPr>
          <w:rFonts w:ascii="Tahoma" w:eastAsia="Times New Roman" w:hAnsi="Tahoma" w:cs="Tahoma"/>
          <w:color w:val="39516C"/>
          <w:sz w:val="24"/>
          <w:szCs w:val="24"/>
        </w:rPr>
        <w:t>activities concerned with community and alumni relations including development and fund-raising</w:t>
      </w:r>
    </w:p>
    <w:p w:rsidR="00A208FC" w:rsidRPr="00A208FC" w:rsidRDefault="00A208FC" w:rsidP="00A208FC">
      <w:pPr>
        <w:spacing w:line="240" w:lineRule="auto"/>
        <w:rPr>
          <w:rFonts w:ascii="Arial" w:eastAsia="Times New Roman" w:hAnsi="Arial" w:cs="Arial"/>
          <w:color w:val="003366"/>
          <w:sz w:val="24"/>
          <w:szCs w:val="24"/>
        </w:rPr>
      </w:pPr>
      <w:bookmarkStart w:id="4" w:name="academicsupport"/>
      <w:r w:rsidRPr="00A208FC">
        <w:rPr>
          <w:rFonts w:ascii="Tahoma" w:eastAsia="Times New Roman" w:hAnsi="Tahoma" w:cs="Tahoma"/>
          <w:b/>
          <w:bCs/>
          <w:color w:val="39516C"/>
          <w:sz w:val="24"/>
          <w:szCs w:val="24"/>
        </w:rPr>
        <w:t>Academic Support</w:t>
      </w:r>
      <w:bookmarkEnd w:id="4"/>
      <w:r w:rsidRPr="00A208FC">
        <w:rPr>
          <w:rFonts w:ascii="Tahoma" w:eastAsia="Times New Roman" w:hAnsi="Tahoma" w:cs="Tahoma"/>
          <w:b/>
          <w:bCs/>
          <w:color w:val="39516C"/>
          <w:sz w:val="24"/>
          <w:szCs w:val="24"/>
        </w:rPr>
        <w:t> </w:t>
      </w:r>
      <w:r w:rsidRPr="00A208FC">
        <w:rPr>
          <w:rFonts w:ascii="Arial" w:eastAsia="Times New Roman" w:hAnsi="Arial" w:cs="Arial"/>
          <w:color w:val="003366"/>
          <w:sz w:val="24"/>
          <w:szCs w:val="24"/>
        </w:rPr>
        <w:br/>
      </w:r>
      <w:r w:rsidRPr="00A208FC">
        <w:rPr>
          <w:rFonts w:ascii="Arial" w:eastAsia="Times New Roman" w:hAnsi="Arial" w:cs="Arial"/>
          <w:color w:val="39516C"/>
          <w:sz w:val="24"/>
          <w:szCs w:val="24"/>
        </w:rPr>
        <w:t>Provides support to the institution’s primary missions - instruction, research and public service – and includes:</w:t>
      </w:r>
    </w:p>
    <w:p w:rsidR="00A208FC" w:rsidRPr="00A208FC" w:rsidRDefault="00A208FC" w:rsidP="00A208FC">
      <w:pPr>
        <w:numPr>
          <w:ilvl w:val="0"/>
          <w:numId w:val="2"/>
        </w:numPr>
        <w:spacing w:before="100" w:beforeAutospacing="1" w:after="100" w:afterAutospacing="1" w:line="240" w:lineRule="auto"/>
        <w:rPr>
          <w:rFonts w:ascii="Tahoma" w:eastAsia="Times New Roman" w:hAnsi="Tahoma" w:cs="Tahoma"/>
          <w:color w:val="39516C"/>
          <w:sz w:val="24"/>
          <w:szCs w:val="24"/>
        </w:rPr>
      </w:pPr>
      <w:r w:rsidRPr="00A208FC">
        <w:rPr>
          <w:rFonts w:ascii="Tahoma" w:eastAsia="Times New Roman" w:hAnsi="Tahoma" w:cs="Tahoma"/>
          <w:color w:val="39516C"/>
          <w:sz w:val="24"/>
          <w:szCs w:val="24"/>
        </w:rPr>
        <w:lastRenderedPageBreak/>
        <w:t>academic administration (including academic deans but not department chairmen) and personnel development providing administrative support and management direction to the three primary missions</w:t>
      </w:r>
    </w:p>
    <w:p w:rsidR="00A208FC" w:rsidRPr="00A208FC" w:rsidRDefault="00A208FC" w:rsidP="00A208FC">
      <w:pPr>
        <w:numPr>
          <w:ilvl w:val="0"/>
          <w:numId w:val="2"/>
        </w:numPr>
        <w:spacing w:before="100" w:beforeAutospacing="1" w:after="100" w:afterAutospacing="1" w:line="240" w:lineRule="auto"/>
        <w:rPr>
          <w:rFonts w:ascii="Tahoma" w:eastAsia="Times New Roman" w:hAnsi="Tahoma" w:cs="Tahoma"/>
          <w:color w:val="39516C"/>
          <w:sz w:val="24"/>
          <w:szCs w:val="24"/>
        </w:rPr>
      </w:pPr>
      <w:r w:rsidRPr="00A208FC">
        <w:rPr>
          <w:rFonts w:ascii="Tahoma" w:eastAsia="Times New Roman" w:hAnsi="Tahoma" w:cs="Tahoma"/>
          <w:color w:val="39516C"/>
          <w:sz w:val="24"/>
          <w:szCs w:val="24"/>
        </w:rPr>
        <w:t>the retention, preservation and display of educational materials - for example, libraries, museums, and galleries</w:t>
      </w:r>
    </w:p>
    <w:p w:rsidR="00A208FC" w:rsidRPr="00A208FC" w:rsidRDefault="00A208FC" w:rsidP="00A208FC">
      <w:pPr>
        <w:numPr>
          <w:ilvl w:val="0"/>
          <w:numId w:val="2"/>
        </w:numPr>
        <w:spacing w:before="100" w:beforeAutospacing="1" w:after="100" w:afterAutospacing="1" w:line="240" w:lineRule="auto"/>
        <w:rPr>
          <w:rFonts w:ascii="Tahoma" w:eastAsia="Times New Roman" w:hAnsi="Tahoma" w:cs="Tahoma"/>
          <w:color w:val="39516C"/>
          <w:sz w:val="24"/>
          <w:szCs w:val="24"/>
        </w:rPr>
      </w:pPr>
      <w:r w:rsidRPr="00A208FC">
        <w:rPr>
          <w:rFonts w:ascii="Tahoma" w:eastAsia="Times New Roman" w:hAnsi="Tahoma" w:cs="Tahoma"/>
          <w:color w:val="39516C"/>
          <w:sz w:val="24"/>
          <w:szCs w:val="24"/>
        </w:rPr>
        <w:t>media, such as audio visual services and technology such as computation services</w:t>
      </w:r>
    </w:p>
    <w:p w:rsidR="00A208FC" w:rsidRPr="00A208FC" w:rsidRDefault="00A208FC" w:rsidP="00A208FC">
      <w:pPr>
        <w:numPr>
          <w:ilvl w:val="0"/>
          <w:numId w:val="2"/>
        </w:numPr>
        <w:spacing w:before="100" w:beforeAutospacing="1" w:after="100" w:afterAutospacing="1" w:line="240" w:lineRule="auto"/>
        <w:rPr>
          <w:rFonts w:ascii="Tahoma" w:eastAsia="Times New Roman" w:hAnsi="Tahoma" w:cs="Tahoma"/>
          <w:color w:val="39516C"/>
          <w:sz w:val="24"/>
          <w:szCs w:val="24"/>
        </w:rPr>
      </w:pPr>
      <w:r w:rsidRPr="00A208FC">
        <w:rPr>
          <w:rFonts w:ascii="Tahoma" w:eastAsia="Times New Roman" w:hAnsi="Tahoma" w:cs="Tahoma"/>
          <w:color w:val="39516C"/>
          <w:sz w:val="24"/>
          <w:szCs w:val="24"/>
        </w:rPr>
        <w:t>separately budgeted support for course and curriculum development</w:t>
      </w:r>
    </w:p>
    <w:p w:rsidR="00A208FC" w:rsidRPr="00A208FC" w:rsidRDefault="00A208FC" w:rsidP="00A208FC">
      <w:pPr>
        <w:spacing w:line="240" w:lineRule="auto"/>
        <w:rPr>
          <w:rFonts w:ascii="Arial" w:eastAsia="Times New Roman" w:hAnsi="Arial" w:cs="Arial"/>
          <w:color w:val="003366"/>
          <w:sz w:val="24"/>
          <w:szCs w:val="24"/>
        </w:rPr>
      </w:pPr>
      <w:bookmarkStart w:id="5" w:name="studentservices"/>
      <w:r w:rsidRPr="00A208FC">
        <w:rPr>
          <w:rFonts w:ascii="Tahoma" w:eastAsia="Times New Roman" w:hAnsi="Tahoma" w:cs="Tahoma"/>
          <w:b/>
          <w:bCs/>
          <w:color w:val="39516C"/>
          <w:sz w:val="24"/>
          <w:szCs w:val="24"/>
        </w:rPr>
        <w:t>Student Services</w:t>
      </w:r>
      <w:bookmarkEnd w:id="5"/>
      <w:r w:rsidRPr="00A208FC">
        <w:rPr>
          <w:rFonts w:ascii="Tahoma" w:eastAsia="Times New Roman" w:hAnsi="Tahoma" w:cs="Tahoma"/>
          <w:b/>
          <w:bCs/>
          <w:color w:val="39516C"/>
          <w:sz w:val="24"/>
          <w:szCs w:val="24"/>
        </w:rPr>
        <w:t> </w:t>
      </w:r>
      <w:r w:rsidRPr="00A208FC">
        <w:rPr>
          <w:rFonts w:ascii="Arial" w:eastAsia="Times New Roman" w:hAnsi="Arial" w:cs="Arial"/>
          <w:color w:val="003366"/>
          <w:sz w:val="24"/>
          <w:szCs w:val="24"/>
        </w:rPr>
        <w:br/>
      </w:r>
      <w:r w:rsidRPr="00A208FC">
        <w:rPr>
          <w:rFonts w:ascii="Arial" w:eastAsia="Times New Roman" w:hAnsi="Arial" w:cs="Arial"/>
          <w:color w:val="39516C"/>
          <w:sz w:val="24"/>
          <w:szCs w:val="24"/>
        </w:rPr>
        <w:t>Includes offices of admissions and registrar and those activities whose primary purpose is to contribute to the student’s emotional and physical well-being and to his intellectual, cultural, and social development outside the context of the formal instruction program.</w:t>
      </w:r>
    </w:p>
    <w:p w:rsidR="00A208FC" w:rsidRPr="00A208FC" w:rsidRDefault="00A208FC" w:rsidP="00A208FC">
      <w:pPr>
        <w:spacing w:line="240" w:lineRule="auto"/>
        <w:rPr>
          <w:rFonts w:ascii="Arial" w:eastAsia="Times New Roman" w:hAnsi="Arial" w:cs="Arial"/>
          <w:color w:val="003366"/>
          <w:sz w:val="24"/>
          <w:szCs w:val="24"/>
        </w:rPr>
      </w:pPr>
      <w:bookmarkStart w:id="6" w:name="studentaid"/>
      <w:r w:rsidRPr="00A208FC">
        <w:rPr>
          <w:rFonts w:ascii="Tahoma" w:eastAsia="Times New Roman" w:hAnsi="Tahoma" w:cs="Tahoma"/>
          <w:b/>
          <w:bCs/>
          <w:color w:val="39516C"/>
          <w:sz w:val="24"/>
          <w:szCs w:val="24"/>
        </w:rPr>
        <w:t>Student Aid</w:t>
      </w:r>
      <w:bookmarkEnd w:id="6"/>
      <w:r w:rsidRPr="00A208FC">
        <w:rPr>
          <w:rFonts w:ascii="Arial" w:eastAsia="Times New Roman" w:hAnsi="Arial" w:cs="Arial"/>
          <w:color w:val="003366"/>
          <w:sz w:val="24"/>
          <w:szCs w:val="24"/>
        </w:rPr>
        <w:t> </w:t>
      </w:r>
      <w:r w:rsidRPr="00A208FC">
        <w:rPr>
          <w:rFonts w:ascii="Arial" w:eastAsia="Times New Roman" w:hAnsi="Arial" w:cs="Arial"/>
          <w:color w:val="003366"/>
          <w:sz w:val="24"/>
          <w:szCs w:val="24"/>
        </w:rPr>
        <w:br/>
      </w:r>
      <w:r w:rsidRPr="00A208FC">
        <w:rPr>
          <w:rFonts w:ascii="Arial" w:eastAsia="Times New Roman" w:hAnsi="Arial" w:cs="Arial"/>
          <w:color w:val="39516C"/>
          <w:sz w:val="24"/>
          <w:szCs w:val="24"/>
        </w:rPr>
        <w:t>Includes scholarships and fellowships in the form of out-right grants to students selected by the institution and financed from current funds, restricted or unrestricted.</w:t>
      </w:r>
    </w:p>
    <w:p w:rsidR="00A208FC" w:rsidRPr="00A208FC" w:rsidRDefault="00A208FC" w:rsidP="00A208FC">
      <w:pPr>
        <w:spacing w:line="240" w:lineRule="auto"/>
        <w:rPr>
          <w:rFonts w:ascii="Arial" w:eastAsia="Times New Roman" w:hAnsi="Arial" w:cs="Arial"/>
          <w:color w:val="003366"/>
          <w:sz w:val="24"/>
          <w:szCs w:val="24"/>
        </w:rPr>
      </w:pPr>
      <w:bookmarkStart w:id="7" w:name="physicalplant"/>
      <w:r w:rsidRPr="00A208FC">
        <w:rPr>
          <w:rFonts w:ascii="Tahoma" w:eastAsia="Times New Roman" w:hAnsi="Tahoma" w:cs="Tahoma"/>
          <w:b/>
          <w:bCs/>
          <w:color w:val="39516C"/>
          <w:sz w:val="24"/>
          <w:szCs w:val="24"/>
        </w:rPr>
        <w:t>Physical Plant Operations</w:t>
      </w:r>
      <w:bookmarkEnd w:id="7"/>
      <w:r w:rsidRPr="00A208FC">
        <w:rPr>
          <w:rFonts w:ascii="Tahoma" w:eastAsia="Times New Roman" w:hAnsi="Tahoma" w:cs="Tahoma"/>
          <w:b/>
          <w:bCs/>
          <w:color w:val="39516C"/>
          <w:sz w:val="24"/>
          <w:szCs w:val="24"/>
        </w:rPr>
        <w:t> </w:t>
      </w:r>
      <w:r w:rsidRPr="00A208FC">
        <w:rPr>
          <w:rFonts w:ascii="Arial" w:eastAsia="Times New Roman" w:hAnsi="Arial" w:cs="Arial"/>
          <w:color w:val="003366"/>
          <w:sz w:val="24"/>
          <w:szCs w:val="24"/>
        </w:rPr>
        <w:br/>
      </w:r>
      <w:r w:rsidRPr="00A208FC">
        <w:rPr>
          <w:rFonts w:ascii="Arial" w:eastAsia="Times New Roman" w:hAnsi="Arial" w:cs="Arial"/>
          <w:color w:val="39516C"/>
          <w:sz w:val="24"/>
          <w:szCs w:val="24"/>
        </w:rPr>
        <w:t>Includes the operation and maintenance of the physical plant relating to grounds and facilities. Also included are fuel, utilities, fire protection, property insurance, and similar items.</w:t>
      </w:r>
    </w:p>
    <w:p w:rsidR="00A208FC" w:rsidRDefault="00A208FC" w:rsidP="00A208FC">
      <w:pPr>
        <w:pStyle w:val="Heading1"/>
      </w:pPr>
      <w:r>
        <w:t>Engineering Ranking</w:t>
      </w:r>
    </w:p>
    <w:p w:rsidR="00A208FC" w:rsidRDefault="00A208FC" w:rsidP="00A208FC">
      <w:r>
        <w:t xml:space="preserve">College of </w:t>
      </w:r>
      <w:proofErr w:type="gramStart"/>
      <w:r>
        <w:t>Engineering</w:t>
      </w:r>
      <w:proofErr w:type="gramEnd"/>
      <w:r>
        <w:t xml:space="preserve"> overall tied for #32</w:t>
      </w:r>
    </w:p>
    <w:p w:rsidR="00A208FC" w:rsidRDefault="00A208FC" w:rsidP="00A208FC">
      <w:r>
        <w:t>Petroleum Engineering, #6</w:t>
      </w:r>
    </w:p>
    <w:p w:rsidR="00A208FC" w:rsidRDefault="00A208FC" w:rsidP="00A208FC">
      <w:r>
        <w:t>Industrial/Manufacturing/Systems Engineering, tied for #8</w:t>
      </w:r>
    </w:p>
    <w:p w:rsidR="00A208FC" w:rsidRDefault="00A208FC" w:rsidP="00A208FC">
      <w:r>
        <w:t>Nuclear Engineering, #8</w:t>
      </w:r>
    </w:p>
    <w:p w:rsidR="00A208FC" w:rsidRDefault="00A208FC" w:rsidP="00A208FC">
      <w:r>
        <w:t>Biological/Agricultural Engineering, #9</w:t>
      </w:r>
    </w:p>
    <w:p w:rsidR="00A208FC" w:rsidRDefault="00A208FC" w:rsidP="00A208FC">
      <w:pPr>
        <w:pStyle w:val="Heading1"/>
      </w:pPr>
      <w:r>
        <w:t>Student Mail Services</w:t>
      </w:r>
    </w:p>
    <w:p w:rsidR="00A208FC" w:rsidRDefault="00A208FC" w:rsidP="00A208FC">
      <w:pPr>
        <w:pStyle w:val="documentdescription"/>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Mail Services is conveniently located in the center of campus, in the Reed Union Building.  In addition to mailing letters and packages, we provide mailboxes to on-campus students and offer a web-based package tracking system for incoming parcels.</w:t>
      </w:r>
    </w:p>
    <w:p w:rsidR="00A208FC" w:rsidRDefault="00A208FC" w:rsidP="00A208FC">
      <w:pPr>
        <w:pStyle w:val="documentdescription"/>
        <w:spacing w:after="0" w:afterAutospacing="0"/>
        <w:rPr>
          <w:rFonts w:ascii="Helvetica" w:hAnsi="Helvetica" w:cs="Helvetica"/>
          <w:color w:val="000000"/>
          <w:sz w:val="21"/>
          <w:szCs w:val="21"/>
        </w:rPr>
      </w:pPr>
      <w:r>
        <w:rPr>
          <w:rFonts w:ascii="Helvetica" w:hAnsi="Helvetica" w:cs="Helvetica"/>
          <w:color w:val="000000"/>
          <w:sz w:val="21"/>
          <w:szCs w:val="21"/>
        </w:rPr>
        <w:t>Need postage stamps?  You can purchase these at the RUB Information Desk in Reed.</w:t>
      </w:r>
    </w:p>
    <w:p w:rsidR="00A208FC" w:rsidRDefault="00A208FC" w:rsidP="00A208FC">
      <w:pPr>
        <w:pStyle w:val="Heading1"/>
      </w:pPr>
      <w:r>
        <w:t>Contact Mail Services</w:t>
      </w:r>
    </w:p>
    <w:p w:rsidR="00A208FC" w:rsidRDefault="00A208FC" w:rsidP="00A208FC">
      <w:r>
        <w:t>814-898-6494</w:t>
      </w:r>
    </w:p>
    <w:p w:rsidR="00A208FC" w:rsidRDefault="00A208FC" w:rsidP="00A208FC"/>
    <w:p w:rsidR="00A208FC" w:rsidRDefault="00A208FC" w:rsidP="00A208FC">
      <w:r>
        <w:t>bd-mailservice@lists.psu.edu</w:t>
      </w:r>
    </w:p>
    <w:p w:rsidR="00A208FC" w:rsidRDefault="00A208FC" w:rsidP="00A208FC"/>
    <w:p w:rsidR="00A208FC" w:rsidRDefault="00A208FC" w:rsidP="00A208FC">
      <w:r>
        <w:t>Reed Union Building</w:t>
      </w:r>
    </w:p>
    <w:p w:rsidR="00A208FC" w:rsidRDefault="00A208FC" w:rsidP="00A208FC">
      <w:r>
        <w:t>4701 College Drive</w:t>
      </w:r>
    </w:p>
    <w:p w:rsidR="00A208FC" w:rsidRDefault="00A208FC" w:rsidP="00A208FC">
      <w:r>
        <w:t>Erie, PA  16563</w:t>
      </w:r>
    </w:p>
    <w:p w:rsidR="00A208FC" w:rsidRDefault="00A208FC" w:rsidP="00A208FC"/>
    <w:p w:rsidR="00A208FC" w:rsidRDefault="00A208FC" w:rsidP="00A208FC">
      <w:r>
        <w:t>Semester Hours:</w:t>
      </w:r>
    </w:p>
    <w:p w:rsidR="00A208FC" w:rsidRDefault="00A208FC" w:rsidP="00A208FC">
      <w:r>
        <w:lastRenderedPageBreak/>
        <w:t>Monday-Friday</w:t>
      </w:r>
    </w:p>
    <w:p w:rsidR="00A208FC" w:rsidRDefault="00A208FC" w:rsidP="00A208FC">
      <w:r>
        <w:t>9:00 a.m. - 5:00 pm</w:t>
      </w:r>
    </w:p>
    <w:p w:rsidR="00A208FC" w:rsidRDefault="00A208FC" w:rsidP="00A208FC">
      <w:r>
        <w:t>Saturday</w:t>
      </w:r>
    </w:p>
    <w:p w:rsidR="00A208FC" w:rsidRDefault="00A208FC" w:rsidP="00A208FC">
      <w:r>
        <w:t>10:30 a.m. - 12:00 p.m.</w:t>
      </w:r>
    </w:p>
    <w:p w:rsidR="00A208FC" w:rsidRDefault="00A208FC" w:rsidP="00A208FC"/>
    <w:p w:rsidR="00A208FC" w:rsidRDefault="00A208FC" w:rsidP="00A208FC">
      <w:r>
        <w:t>Summer Hours:</w:t>
      </w:r>
    </w:p>
    <w:p w:rsidR="00A208FC" w:rsidRDefault="00A208FC" w:rsidP="00A208FC">
      <w:r>
        <w:t>Monday-Friday</w:t>
      </w:r>
    </w:p>
    <w:p w:rsidR="00A208FC" w:rsidRDefault="00A208FC" w:rsidP="00A208FC">
      <w:r>
        <w:t>10:30 a.m. - 5:00 p.m.</w:t>
      </w:r>
    </w:p>
    <w:p w:rsidR="00A208FC" w:rsidRDefault="00A208FC" w:rsidP="00A208FC">
      <w:pPr>
        <w:pStyle w:val="Heading2"/>
        <w:spacing w:before="0" w:after="120" w:line="345" w:lineRule="atLeast"/>
        <w:rPr>
          <w:rFonts w:ascii="Roboto Slab" w:hAnsi="Roboto Slab"/>
          <w:color w:val="000000"/>
          <w:sz w:val="30"/>
          <w:szCs w:val="30"/>
        </w:rPr>
      </w:pPr>
      <w:r>
        <w:rPr>
          <w:rFonts w:ascii="Roboto Slab" w:hAnsi="Roboto Slab"/>
          <w:b/>
          <w:bCs/>
          <w:color w:val="000000"/>
          <w:sz w:val="30"/>
          <w:szCs w:val="30"/>
        </w:rPr>
        <w:t>Assignment of Mailboxes</w:t>
      </w:r>
    </w:p>
    <w:p w:rsidR="00A208FC" w:rsidRDefault="00A208FC" w:rsidP="00A208FC">
      <w:pPr>
        <w:pStyle w:val="NormalWeb"/>
        <w:spacing w:after="0" w:afterAutospacing="0"/>
        <w:rPr>
          <w:rFonts w:ascii="Helvetica" w:hAnsi="Helvetica" w:cs="Helvetica"/>
          <w:color w:val="000000"/>
          <w:sz w:val="21"/>
          <w:szCs w:val="21"/>
        </w:rPr>
      </w:pPr>
      <w:r>
        <w:rPr>
          <w:rFonts w:ascii="Helvetica" w:hAnsi="Helvetica" w:cs="Helvetica"/>
          <w:color w:val="000000"/>
          <w:sz w:val="21"/>
          <w:szCs w:val="21"/>
        </w:rPr>
        <w:t>Student mailboxes are only for on-campus, resident students. (Commuter students are not given mailboxes to assure availability for resident students.) All new students residing on campus will be assigned a mailbox. Students will be notified by email that a mailbox has been assigned.</w:t>
      </w:r>
    </w:p>
    <w:p w:rsidR="00A208FC" w:rsidRDefault="00A208FC" w:rsidP="00A208FC">
      <w:pPr>
        <w:pStyle w:val="NormalWeb"/>
        <w:spacing w:after="0" w:afterAutospacing="0"/>
        <w:rPr>
          <w:rFonts w:ascii="Helvetica" w:hAnsi="Helvetica" w:cs="Helvetica"/>
          <w:color w:val="000000"/>
          <w:sz w:val="21"/>
          <w:szCs w:val="21"/>
        </w:rPr>
      </w:pPr>
      <w:r>
        <w:rPr>
          <w:rFonts w:ascii="Helvetica" w:hAnsi="Helvetica" w:cs="Helvetica"/>
          <w:color w:val="000000"/>
          <w:sz w:val="21"/>
          <w:szCs w:val="21"/>
        </w:rPr>
        <w:t>Mailboxes are generally assigned a few weeks before the start of each semester by the Operations Department. One student is assigned per mailbox.  While living on campus, you will retain the same box for all your semesters here at Behrend.  Whenever your status with the University changes to that of a commuter student, or you leave the Behrend campus, your mailbox is terminated and you must change your address with the USPS to receive your mail.</w:t>
      </w:r>
    </w:p>
    <w:p w:rsidR="00A208FC" w:rsidRDefault="00A208FC" w:rsidP="00A208FC">
      <w:pPr>
        <w:pStyle w:val="NormalWeb"/>
        <w:spacing w:after="0" w:afterAutospacing="0"/>
        <w:rPr>
          <w:rFonts w:ascii="Helvetica" w:hAnsi="Helvetica" w:cs="Helvetica"/>
          <w:color w:val="000000"/>
          <w:sz w:val="21"/>
          <w:szCs w:val="21"/>
        </w:rPr>
      </w:pPr>
      <w:r>
        <w:rPr>
          <w:rFonts w:ascii="Helvetica" w:hAnsi="Helvetica" w:cs="Helvetica"/>
          <w:color w:val="000000"/>
          <w:sz w:val="21"/>
          <w:szCs w:val="21"/>
        </w:rPr>
        <w:t>Mail is returned to the sender after 10 days of not being picked up by the recipient. If the mailbox is too full, check at the window for your mail, it will be held in the mailroom for pickup, then returned to sender after the 10 days. Newspapers are picked up at the Mail Service window, because they take up too much space in the box.</w:t>
      </w:r>
    </w:p>
    <w:p w:rsidR="00A208FC" w:rsidRDefault="00A208FC" w:rsidP="00A208FC">
      <w:pPr>
        <w:pStyle w:val="NormalWeb"/>
        <w:spacing w:after="0" w:afterAutospacing="0"/>
        <w:rPr>
          <w:rFonts w:ascii="Helvetica" w:hAnsi="Helvetica" w:cs="Helvetica"/>
          <w:color w:val="000000"/>
          <w:sz w:val="21"/>
          <w:szCs w:val="21"/>
        </w:rPr>
      </w:pPr>
      <w:r>
        <w:rPr>
          <w:rFonts w:ascii="Helvetica" w:hAnsi="Helvetica" w:cs="Helvetica"/>
          <w:color w:val="000000"/>
          <w:sz w:val="21"/>
          <w:szCs w:val="21"/>
        </w:rPr>
        <w:t>Please make sure you visit your mailbox frequently during the semester, as they are small and fill quickly.</w:t>
      </w:r>
    </w:p>
    <w:p w:rsidR="00A208FC" w:rsidRDefault="00A208FC" w:rsidP="00A208FC">
      <w:pPr>
        <w:pStyle w:val="NormalWeb"/>
        <w:spacing w:after="0" w:afterAutospacing="0"/>
        <w:rPr>
          <w:rFonts w:ascii="Helvetica" w:hAnsi="Helvetica" w:cs="Helvetica"/>
          <w:color w:val="000000"/>
          <w:sz w:val="21"/>
          <w:szCs w:val="21"/>
        </w:rPr>
      </w:pPr>
      <w:r>
        <w:rPr>
          <w:rFonts w:ascii="Helvetica" w:hAnsi="Helvetica" w:cs="Helvetica"/>
          <w:color w:val="000000"/>
          <w:sz w:val="21"/>
          <w:szCs w:val="21"/>
        </w:rPr>
        <w:t>All students are obligated to f</w:t>
      </w:r>
      <w:bookmarkStart w:id="8" w:name="_GoBack"/>
      <w:bookmarkEnd w:id="8"/>
      <w:r>
        <w:rPr>
          <w:rFonts w:ascii="Helvetica" w:hAnsi="Helvetica" w:cs="Helvetica"/>
          <w:color w:val="000000"/>
          <w:sz w:val="21"/>
          <w:szCs w:val="21"/>
        </w:rPr>
        <w:t>ollow USPS regulations, making it a felony to tamper with mail that is not theirs.</w:t>
      </w:r>
    </w:p>
    <w:p w:rsidR="00A208FC" w:rsidRDefault="00A208FC" w:rsidP="00A208FC">
      <w:pPr>
        <w:pStyle w:val="NormalWeb"/>
        <w:spacing w:before="0" w:after="0" w:afterAutospacing="0"/>
        <w:rPr>
          <w:rFonts w:ascii="Helvetica" w:hAnsi="Helvetica" w:cs="Helvetica"/>
          <w:color w:val="000000"/>
          <w:sz w:val="21"/>
          <w:szCs w:val="21"/>
        </w:rPr>
      </w:pPr>
      <w:r>
        <w:rPr>
          <w:rFonts w:ascii="Helvetica" w:hAnsi="Helvetica" w:cs="Helvetica"/>
          <w:color w:val="000000"/>
          <w:sz w:val="21"/>
          <w:szCs w:val="21"/>
        </w:rPr>
        <w:t>You can find your mailbox assignment on the</w:t>
      </w:r>
      <w:hyperlink r:id="rId6" w:tgtFrame="_blank" w:history="1">
        <w:r>
          <w:rPr>
            <w:rStyle w:val="apple-converted-space"/>
            <w:rFonts w:ascii="Helvetica" w:hAnsi="Helvetica" w:cs="Helvetica"/>
            <w:color w:val="2C76C7"/>
            <w:sz w:val="21"/>
            <w:szCs w:val="21"/>
          </w:rPr>
          <w:t> </w:t>
        </w:r>
      </w:hyperlink>
      <w:hyperlink r:id="rId7" w:tgtFrame="_blank" w:history="1">
        <w:r>
          <w:rPr>
            <w:rStyle w:val="Hyperlink"/>
            <w:rFonts w:ascii="Helvetica" w:hAnsi="Helvetica" w:cs="Helvetica"/>
            <w:color w:val="2C76C7"/>
            <w:sz w:val="21"/>
            <w:szCs w:val="21"/>
          </w:rPr>
          <w:t>Student Mailbox List</w:t>
        </w:r>
      </w:hyperlink>
      <w:r>
        <w:rPr>
          <w:rFonts w:ascii="Helvetica" w:hAnsi="Helvetica" w:cs="Helvetica"/>
          <w:color w:val="000000"/>
          <w:sz w:val="21"/>
          <w:szCs w:val="21"/>
        </w:rPr>
        <w:t xml:space="preserve"> (</w:t>
      </w:r>
      <w:r w:rsidRPr="00A208FC">
        <w:rPr>
          <w:rFonts w:ascii="Helvetica" w:hAnsi="Helvetica" w:cs="Helvetica"/>
          <w:color w:val="000000"/>
          <w:sz w:val="21"/>
          <w:szCs w:val="21"/>
        </w:rPr>
        <w:t>https://intranet.bd.psu.edu/intranet/mail-room/student-mailbox-list</w:t>
      </w:r>
      <w:r>
        <w:rPr>
          <w:rFonts w:ascii="Helvetica" w:hAnsi="Helvetica" w:cs="Helvetica"/>
          <w:color w:val="000000"/>
          <w:sz w:val="21"/>
          <w:szCs w:val="21"/>
        </w:rPr>
        <w:t>)</w:t>
      </w:r>
      <w:r>
        <w:rPr>
          <w:rFonts w:ascii="Helvetica" w:hAnsi="Helvetica" w:cs="Helvetica"/>
          <w:color w:val="000000"/>
          <w:sz w:val="21"/>
          <w:szCs w:val="21"/>
        </w:rPr>
        <w:t>.</w:t>
      </w:r>
    </w:p>
    <w:p w:rsidR="001F75BA" w:rsidRDefault="001F75BA" w:rsidP="001F75BA">
      <w:pPr>
        <w:pStyle w:val="Heading1"/>
        <w:spacing w:before="0" w:after="225" w:line="450" w:lineRule="atLeast"/>
        <w:rPr>
          <w:rFonts w:ascii="Helvetica" w:hAnsi="Helvetica" w:cs="Helvetica"/>
          <w:color w:val="000000"/>
          <w:sz w:val="41"/>
          <w:szCs w:val="41"/>
        </w:rPr>
      </w:pPr>
      <w:r>
        <w:rPr>
          <w:rFonts w:ascii="Helvetica" w:hAnsi="Helvetica" w:cs="Helvetica"/>
          <w:b/>
          <w:bCs/>
          <w:color w:val="000000"/>
          <w:sz w:val="41"/>
          <w:szCs w:val="41"/>
        </w:rPr>
        <w:t>Forwarding Your Mail</w:t>
      </w:r>
    </w:p>
    <w:p w:rsidR="001F75BA" w:rsidRDefault="001F75BA" w:rsidP="001F75BA">
      <w:pPr>
        <w:pStyle w:val="NormalWeb"/>
        <w:spacing w:before="0" w:beforeAutospacing="0" w:after="0" w:afterAutospacing="0"/>
      </w:pPr>
      <w:r>
        <w:t>Students with Penn State Behrend mailboxes will have to submit a change of address form to have all mail properly forwarded for the summer months,</w:t>
      </w:r>
      <w:r>
        <w:rPr>
          <w:rStyle w:val="apple-converted-space"/>
        </w:rPr>
        <w:t> </w:t>
      </w:r>
      <w:r>
        <w:rPr>
          <w:rStyle w:val="Strong"/>
        </w:rPr>
        <w:t>ONLY</w:t>
      </w:r>
      <w:r>
        <w:rPr>
          <w:rStyle w:val="apple-converted-space"/>
        </w:rPr>
        <w:t> </w:t>
      </w:r>
      <w:r>
        <w:t xml:space="preserve">if they want their mail sent somewhere other than their home address, which we already have in our files. Be sure to inform the Mail Services if your home address has changed during your stay on campus. All mail is removed at the end of the </w:t>
      </w:r>
      <w:proofErr w:type="gramStart"/>
      <w:r>
        <w:t>Spring</w:t>
      </w:r>
      <w:proofErr w:type="gramEnd"/>
      <w:r>
        <w:t xml:space="preserve"> semester; and only first class mail is forwarded, not "junk" mail or magazines.</w:t>
      </w:r>
    </w:p>
    <w:p w:rsidR="00A208FC" w:rsidRPr="00A208FC" w:rsidRDefault="00A208FC" w:rsidP="00A208FC"/>
    <w:sectPr w:rsidR="00A208FC" w:rsidRPr="00A2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Roboto Sla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74606"/>
    <w:multiLevelType w:val="multilevel"/>
    <w:tmpl w:val="15A2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95EA0"/>
    <w:multiLevelType w:val="multilevel"/>
    <w:tmpl w:val="ED7C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FC"/>
    <w:rsid w:val="000F64FA"/>
    <w:rsid w:val="001F75BA"/>
    <w:rsid w:val="002639EA"/>
    <w:rsid w:val="00287FA7"/>
    <w:rsid w:val="00A2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9C371-402A-4B6D-8AA4-4A909934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8F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08F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8F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208FC"/>
    <w:rPr>
      <w:color w:val="0563C1" w:themeColor="hyperlink"/>
      <w:u w:val="single"/>
    </w:rPr>
  </w:style>
  <w:style w:type="character" w:customStyle="1" w:styleId="boldpagetext">
    <w:name w:val="boldpagetext"/>
    <w:basedOn w:val="DefaultParagraphFont"/>
    <w:rsid w:val="00A208FC"/>
  </w:style>
  <w:style w:type="character" w:customStyle="1" w:styleId="apple-converted-space">
    <w:name w:val="apple-converted-space"/>
    <w:basedOn w:val="DefaultParagraphFont"/>
    <w:rsid w:val="00A208FC"/>
  </w:style>
  <w:style w:type="paragraph" w:styleId="NormalWeb">
    <w:name w:val="Normal (Web)"/>
    <w:basedOn w:val="Normal"/>
    <w:uiPriority w:val="99"/>
    <w:semiHidden/>
    <w:unhideWhenUsed/>
    <w:rsid w:val="00A208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4">
    <w:name w:val="style14"/>
    <w:basedOn w:val="DefaultParagraphFont"/>
    <w:rsid w:val="00A208FC"/>
  </w:style>
  <w:style w:type="character" w:customStyle="1" w:styleId="pagetext">
    <w:name w:val="pagetext"/>
    <w:basedOn w:val="DefaultParagraphFont"/>
    <w:rsid w:val="00A208FC"/>
  </w:style>
  <w:style w:type="paragraph" w:styleId="BalloonText">
    <w:name w:val="Balloon Text"/>
    <w:basedOn w:val="Normal"/>
    <w:link w:val="BalloonTextChar"/>
    <w:uiPriority w:val="99"/>
    <w:semiHidden/>
    <w:unhideWhenUsed/>
    <w:rsid w:val="00A208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8FC"/>
    <w:rPr>
      <w:rFonts w:ascii="Segoe UI" w:hAnsi="Segoe UI" w:cs="Segoe UI"/>
      <w:sz w:val="18"/>
      <w:szCs w:val="18"/>
    </w:rPr>
  </w:style>
  <w:style w:type="paragraph" w:customStyle="1" w:styleId="documentdescription">
    <w:name w:val="documentdescription"/>
    <w:basedOn w:val="Normal"/>
    <w:rsid w:val="00A208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208F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F7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822621">
      <w:bodyDiv w:val="1"/>
      <w:marLeft w:val="0"/>
      <w:marRight w:val="0"/>
      <w:marTop w:val="0"/>
      <w:marBottom w:val="0"/>
      <w:divBdr>
        <w:top w:val="none" w:sz="0" w:space="0" w:color="auto"/>
        <w:left w:val="none" w:sz="0" w:space="0" w:color="auto"/>
        <w:bottom w:val="none" w:sz="0" w:space="0" w:color="auto"/>
        <w:right w:val="none" w:sz="0" w:space="0" w:color="auto"/>
      </w:divBdr>
      <w:divsChild>
        <w:div w:id="1027558775">
          <w:marLeft w:val="0"/>
          <w:marRight w:val="0"/>
          <w:marTop w:val="0"/>
          <w:marBottom w:val="0"/>
          <w:divBdr>
            <w:top w:val="none" w:sz="0" w:space="0" w:color="auto"/>
            <w:left w:val="none" w:sz="0" w:space="0" w:color="auto"/>
            <w:bottom w:val="none" w:sz="0" w:space="0" w:color="auto"/>
            <w:right w:val="none" w:sz="0" w:space="0" w:color="auto"/>
          </w:divBdr>
          <w:divsChild>
            <w:div w:id="1369066473">
              <w:marLeft w:val="160"/>
              <w:marRight w:val="160"/>
              <w:marTop w:val="0"/>
              <w:marBottom w:val="0"/>
              <w:divBdr>
                <w:top w:val="none" w:sz="0" w:space="0" w:color="auto"/>
                <w:left w:val="none" w:sz="0" w:space="0" w:color="auto"/>
                <w:bottom w:val="none" w:sz="0" w:space="0" w:color="auto"/>
                <w:right w:val="none" w:sz="0" w:space="0" w:color="auto"/>
              </w:divBdr>
              <w:divsChild>
                <w:div w:id="873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9291">
          <w:marLeft w:val="0"/>
          <w:marRight w:val="0"/>
          <w:marTop w:val="0"/>
          <w:marBottom w:val="0"/>
          <w:divBdr>
            <w:top w:val="none" w:sz="0" w:space="0" w:color="auto"/>
            <w:left w:val="none" w:sz="0" w:space="0" w:color="auto"/>
            <w:bottom w:val="none" w:sz="0" w:space="0" w:color="auto"/>
            <w:right w:val="none" w:sz="0" w:space="0" w:color="auto"/>
          </w:divBdr>
          <w:divsChild>
            <w:div w:id="1406340322">
              <w:marLeft w:val="0"/>
              <w:marRight w:val="0"/>
              <w:marTop w:val="0"/>
              <w:marBottom w:val="0"/>
              <w:divBdr>
                <w:top w:val="none" w:sz="0" w:space="0" w:color="auto"/>
                <w:left w:val="none" w:sz="0" w:space="0" w:color="auto"/>
                <w:bottom w:val="none" w:sz="0" w:space="0" w:color="auto"/>
                <w:right w:val="none" w:sz="0" w:space="0" w:color="auto"/>
              </w:divBdr>
              <w:divsChild>
                <w:div w:id="1648975223">
                  <w:marLeft w:val="0"/>
                  <w:marRight w:val="0"/>
                  <w:marTop w:val="0"/>
                  <w:marBottom w:val="0"/>
                  <w:divBdr>
                    <w:top w:val="none" w:sz="0" w:space="0" w:color="auto"/>
                    <w:left w:val="none" w:sz="0" w:space="0" w:color="auto"/>
                    <w:bottom w:val="none" w:sz="0" w:space="0" w:color="auto"/>
                    <w:right w:val="none" w:sz="0" w:space="0" w:color="auto"/>
                  </w:divBdr>
                  <w:divsChild>
                    <w:div w:id="1551070772">
                      <w:marLeft w:val="0"/>
                      <w:marRight w:val="0"/>
                      <w:marTop w:val="0"/>
                      <w:marBottom w:val="0"/>
                      <w:divBdr>
                        <w:top w:val="none" w:sz="0" w:space="0" w:color="auto"/>
                        <w:left w:val="none" w:sz="0" w:space="0" w:color="auto"/>
                        <w:bottom w:val="none" w:sz="0" w:space="0" w:color="auto"/>
                        <w:right w:val="none" w:sz="0" w:space="0" w:color="auto"/>
                      </w:divBdr>
                      <w:divsChild>
                        <w:div w:id="340163798">
                          <w:marLeft w:val="0"/>
                          <w:marRight w:val="0"/>
                          <w:marTop w:val="0"/>
                          <w:marBottom w:val="0"/>
                          <w:divBdr>
                            <w:top w:val="none" w:sz="0" w:space="0" w:color="auto"/>
                            <w:left w:val="none" w:sz="0" w:space="0" w:color="auto"/>
                            <w:bottom w:val="none" w:sz="0" w:space="0" w:color="auto"/>
                            <w:right w:val="none" w:sz="0" w:space="0" w:color="auto"/>
                          </w:divBdr>
                          <w:divsChild>
                            <w:div w:id="383216585">
                              <w:marLeft w:val="0"/>
                              <w:marRight w:val="0"/>
                              <w:marTop w:val="0"/>
                              <w:marBottom w:val="210"/>
                              <w:divBdr>
                                <w:top w:val="none" w:sz="0" w:space="0" w:color="auto"/>
                                <w:left w:val="none" w:sz="0" w:space="0" w:color="auto"/>
                                <w:bottom w:val="none" w:sz="0" w:space="0" w:color="auto"/>
                                <w:right w:val="none" w:sz="0" w:space="0" w:color="auto"/>
                              </w:divBdr>
                              <w:divsChild>
                                <w:div w:id="1224292139">
                                  <w:marLeft w:val="0"/>
                                  <w:marRight w:val="0"/>
                                  <w:marTop w:val="0"/>
                                  <w:marBottom w:val="0"/>
                                  <w:divBdr>
                                    <w:top w:val="none" w:sz="0" w:space="0" w:color="auto"/>
                                    <w:left w:val="none" w:sz="0" w:space="0" w:color="auto"/>
                                    <w:bottom w:val="none" w:sz="0" w:space="0" w:color="auto"/>
                                    <w:right w:val="none" w:sz="0" w:space="0" w:color="auto"/>
                                  </w:divBdr>
                                  <w:divsChild>
                                    <w:div w:id="19962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960341">
      <w:bodyDiv w:val="1"/>
      <w:marLeft w:val="0"/>
      <w:marRight w:val="0"/>
      <w:marTop w:val="0"/>
      <w:marBottom w:val="0"/>
      <w:divBdr>
        <w:top w:val="none" w:sz="0" w:space="0" w:color="auto"/>
        <w:left w:val="none" w:sz="0" w:space="0" w:color="auto"/>
        <w:bottom w:val="none" w:sz="0" w:space="0" w:color="auto"/>
        <w:right w:val="none" w:sz="0" w:space="0" w:color="auto"/>
      </w:divBdr>
    </w:div>
    <w:div w:id="991446331">
      <w:bodyDiv w:val="1"/>
      <w:marLeft w:val="0"/>
      <w:marRight w:val="0"/>
      <w:marTop w:val="0"/>
      <w:marBottom w:val="0"/>
      <w:divBdr>
        <w:top w:val="none" w:sz="0" w:space="0" w:color="auto"/>
        <w:left w:val="none" w:sz="0" w:space="0" w:color="auto"/>
        <w:bottom w:val="none" w:sz="0" w:space="0" w:color="auto"/>
        <w:right w:val="none" w:sz="0" w:space="0" w:color="auto"/>
      </w:divBdr>
    </w:div>
    <w:div w:id="1393574451">
      <w:bodyDiv w:val="1"/>
      <w:marLeft w:val="0"/>
      <w:marRight w:val="0"/>
      <w:marTop w:val="0"/>
      <w:marBottom w:val="0"/>
      <w:divBdr>
        <w:top w:val="none" w:sz="0" w:space="0" w:color="auto"/>
        <w:left w:val="none" w:sz="0" w:space="0" w:color="auto"/>
        <w:bottom w:val="none" w:sz="0" w:space="0" w:color="auto"/>
        <w:right w:val="none" w:sz="0" w:space="0" w:color="auto"/>
      </w:divBdr>
    </w:div>
    <w:div w:id="1642299172">
      <w:bodyDiv w:val="1"/>
      <w:marLeft w:val="0"/>
      <w:marRight w:val="0"/>
      <w:marTop w:val="0"/>
      <w:marBottom w:val="0"/>
      <w:divBdr>
        <w:top w:val="none" w:sz="0" w:space="0" w:color="auto"/>
        <w:left w:val="none" w:sz="0" w:space="0" w:color="auto"/>
        <w:bottom w:val="none" w:sz="0" w:space="0" w:color="auto"/>
        <w:right w:val="none" w:sz="0" w:space="0" w:color="auto"/>
      </w:divBdr>
    </w:div>
    <w:div w:id="21451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ranet.bd.psu.edu/intranet/mail-room/student-mailbox-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bd.psu.edu/intranet/mail-room/student-mailbox-list" TargetMode="External"/><Relationship Id="rId5" Type="http://schemas.openxmlformats.org/officeDocument/2006/relationships/hyperlink" Target="https://cce.ais.psu.edu/tuition-calculator-u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Kovalevich</dc:creator>
  <cp:keywords/>
  <dc:description/>
  <cp:lastModifiedBy>Daniel Kovalevich</cp:lastModifiedBy>
  <cp:revision>2</cp:revision>
  <dcterms:created xsi:type="dcterms:W3CDTF">2017-06-06T19:11:00Z</dcterms:created>
  <dcterms:modified xsi:type="dcterms:W3CDTF">2017-06-06T19:22:00Z</dcterms:modified>
</cp:coreProperties>
</file>