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1099"/>
        <w:gridCol w:w="1200"/>
        <w:gridCol w:w="1354"/>
        <w:gridCol w:w="1349"/>
        <w:gridCol w:w="1344"/>
        <w:gridCol w:w="1358"/>
        <w:gridCol w:w="1354"/>
        <w:gridCol w:w="1344"/>
        <w:gridCol w:w="1358"/>
        <w:gridCol w:w="1387"/>
        <w:gridCol w:w="1291"/>
        <w:gridCol w:w="1157"/>
      </w:tblGrid>
      <w:tr>
        <w:trPr>
          <w:trHeight w:val="77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Фамилия, имя, отчество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замещаемой должности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Объекты недвижимости, находящиеся в собственности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Объекты недвижимости, находящиеся в пользовании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Транспортные средства (вид, марка)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Декларированный годовой доход (руб.)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об источниках получения средств, за счет которых совершены сделки (вид приобретенного имущества, источники)</w:t>
            </w:r>
          </w:p>
        </w:tc>
      </w:tr>
      <w:tr>
        <w:trPr>
          <w:trHeight w:val="1426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объекта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собственности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площадь (кв. м)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страна распо</w:t>
              <w:softHyphen/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ложения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объекта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площадь (кв. м)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страна распо</w:t>
              <w:softHyphen/>
              <w:t>ложения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5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Асташкина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Татьяна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Александровна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помощник заместителя Губернатора Томской области по строительству и инфраструктуре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Квартира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индив идуаль ная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Россия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Земельный участок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Квартира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750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43.56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Россия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Россия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Автомобили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легковые: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БМВ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320i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785369.20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нет</w:t>
            </w:r>
          </w:p>
        </w:tc>
      </w:tr>
      <w:tr>
        <w:trPr>
          <w:trHeight w:val="91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Супруг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Квартира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39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Россия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Мототранспортные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средства: Мотоцикл Восход 3М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0.00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нет</w:t>
            </w:r>
          </w:p>
        </w:tc>
      </w:tr>
    </w:tbl>
    <w:sectPr>
      <w:footnotePr>
        <w:pos w:val="pageBottom"/>
        <w:numFmt w:val="decimal"/>
        <w:numRestart w:val="continuous"/>
      </w:footnotePr>
      <w:pgSz w:w="16840" w:h="11900" w:orient="landscape"/>
      <w:pgMar w:top="685" w:left="674" w:right="570" w:bottom="685" w:header="257" w:footer="25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Other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spacing w:line="257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