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Large Language Mo</w:t>
      </w:r>
      <w:commentRangeStart w:id="0"/>
      <w:r w:rsidDel="00000000" w:rsidR="00000000" w:rsidRPr="00000000">
        <w:rPr>
          <w:rtl w:val="0"/>
        </w:rPr>
        <w:t xml:space="preserve">dels (LLMs) become integrated in every aspect of code production and different industries rely on automated optimization via LLMs, a cri</w:t>
      </w:r>
      <w:commentRangeEnd w:id="0"/>
      <w:r w:rsidDel="00000000" w:rsidR="00000000" w:rsidRPr="00000000">
        <w:commentReference w:id="0"/>
      </w:r>
      <w:r w:rsidDel="00000000" w:rsidR="00000000" w:rsidRPr="00000000">
        <w:rPr>
          <w:rtl w:val="0"/>
        </w:rPr>
        <w:t xml:space="preserve">tical research gap arises regarding the true cost of AI-assisted programming.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research currently evaluates LLMs through a narrow lens that focuses on correctness with isolated benchmarks such as LeetCode or HumanEval, these ignore the trade-offs between the energy required to generate a solution, and the efficiency of the actual solution.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study aims to focus on this trade-off combining different aspects such as model architecture, prompt engineering, and task-specific performance. The research combines two primary areas: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effect of LLM architecture and prompt structure on the efficiency of the code produced</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net energy impact using LLMs, crucially accounting for inference cost along with generated code execution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Identifying how different models and architectures respond to the above two points is made by combining the results of both areas to achieve a standardised score. This provides a benchmark that accounts for both efficiency and energy, along with the mentioned factors in the two questions, to fill a research gap that does not combine all of these factors for a net result.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commentRangeStart w:id="1"/>
      <w:r w:rsidDel="00000000" w:rsidR="00000000" w:rsidRPr="00000000">
        <w:rPr>
          <w:rtl w:val="0"/>
        </w:rPr>
        <w:t xml:space="preserve">Different papers address these factors individually, but none combine them into one as is done in this paper.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answer these questions, we use a hybrid experimental design that compares both local and cloud-based AI models. This includes five local models, such as Qwen2.5-Coder and Llama 3.1, as well as four commercial API-based models, such as GPT-4o and Gemini 2.0. This allows us to measure direct energy usage in Joules, while also considering indirect indicators such as token latency and dollar cost.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also examine the “payback point” of AI optimization, which refers to how many times a piece of LLM-optimised code must be executed before it offsets the energy used to generate it in the first place. By comparing different prompt types, from simple instructions to more iterative “generate-then-optimise” workflows, this paper aims to understand how prompting affects energy use, cost, and performance.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Overall, the goal of this research is to investigate the effect of prompting an LLM model on the energy and efficiency of the inference cost and cost of generated code afterwards, hoping to identify new benchmarking techniques that combine prompting, energy, model, and efficiency for a more holistic analysis.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Grundy" w:id="0" w:date="2026-05-14T05:20:07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do an outline, allocate parts, get feedback on contents of parts</w:t>
      </w:r>
    </w:p>
  </w:comment>
  <w:comment w:author="Azab Azab" w:id="1" w:date="2026-05-14T05:13:12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claim, will rephrase or justify based on further research and our actual findings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