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de-DE"/>
        </w:rPr>
        <w:t>TO: SVP, Finance | CFO</w:t>
      </w:r>
      <w:r>
        <w:br w:type="textWrapping"/>
      </w:r>
      <w:r>
        <w:rPr>
          <w:rtl w:val="0"/>
          <w:lang w:val="en-US"/>
        </w:rPr>
        <w:t>FROM: FP&amp;A (Consumer Segment)</w:t>
      </w:r>
      <w:r>
        <w:br w:type="textWrapping"/>
      </w:r>
      <w:r>
        <w:rPr>
          <w:rtl w:val="0"/>
          <w:lang w:val="en-US"/>
        </w:rPr>
        <w:t>DATE: Oct 21, 2025</w:t>
      </w:r>
      <w:r>
        <w:br w:type="textWrapping"/>
      </w:r>
      <w:r>
        <w:rPr>
          <w:rtl w:val="0"/>
        </w:rPr>
        <w:t>SUBJECT: 12</w:t>
      </w:r>
      <w:r>
        <w:rPr>
          <w:rtl w:val="0"/>
        </w:rPr>
        <w:t>‑</w:t>
      </w:r>
      <w:r>
        <w:rPr>
          <w:rtl w:val="0"/>
          <w:lang w:val="en-US"/>
        </w:rPr>
        <w:t>Month FP&amp;A Forecast &amp; Q2</w:t>
      </w:r>
      <w:r>
        <w:rPr>
          <w:rtl w:val="1"/>
        </w:rPr>
        <w:t>’</w:t>
      </w:r>
      <w:r>
        <w:rPr>
          <w:rtl w:val="0"/>
          <w:lang w:val="en-US"/>
        </w:rPr>
        <w:t xml:space="preserve">25 Variance Bridge </w:t>
      </w:r>
      <w:r>
        <w:rPr>
          <w:rtl w:val="0"/>
          <w:lang w:val="en-US"/>
        </w:rPr>
        <w:t xml:space="preserve">— </w:t>
      </w:r>
      <w:r>
        <w:rPr>
          <w:rtl w:val="0"/>
          <w:lang w:val="de-DE"/>
        </w:rPr>
        <w:t>CELSIUS Portfolio</w:t>
      </w:r>
    </w:p>
    <w:p>
      <w:pPr>
        <w:pStyle w:val="Body"/>
      </w:pPr>
      <w:r>
        <w:rPr>
          <w:rtl w:val="0"/>
          <w:lang w:val="en-US"/>
        </w:rPr>
        <w:t>Executive Summary</w:t>
      </w:r>
      <w:r>
        <w:rPr>
          <w:rtl w:val="0"/>
        </w:rPr>
        <w:br w:type="textWrapping"/>
        <w:t xml:space="preserve">• </w:t>
      </w:r>
      <w:r>
        <w:rPr>
          <w:rtl w:val="0"/>
          <w:lang w:val="it-IT"/>
        </w:rPr>
        <w:t>Q2</w:t>
      </w:r>
      <w:r>
        <w:rPr>
          <w:rtl w:val="1"/>
        </w:rPr>
        <w:t>’</w:t>
      </w:r>
      <w:r>
        <w:rPr>
          <w:rtl w:val="0"/>
          <w:lang w:val="en-US"/>
        </w:rPr>
        <w:t>25 delivered $739.3M revenue (+84% YoY) with 51.5% GM; SG&amp;A ran at 32.2% of revenue (elevated by acquisition</w:t>
      </w:r>
      <w:r>
        <w:rPr>
          <w:rtl w:val="0"/>
        </w:rPr>
        <w:t>‑</w:t>
      </w:r>
      <w:r>
        <w:rPr>
          <w:rtl w:val="0"/>
          <w:lang w:val="en-US"/>
        </w:rPr>
        <w:t>related items).</w:t>
      </w:r>
      <w:r>
        <w:rPr>
          <w:rtl w:val="0"/>
        </w:rPr>
        <w:br w:type="textWrapping"/>
        <w:t xml:space="preserve">• </w:t>
      </w:r>
      <w:r>
        <w:rPr>
          <w:rtl w:val="0"/>
        </w:rPr>
        <w:t>12</w:t>
      </w:r>
      <w:r>
        <w:rPr>
          <w:rtl w:val="0"/>
        </w:rPr>
        <w:t>‑</w:t>
      </w:r>
      <w:r>
        <w:rPr>
          <w:rtl w:val="0"/>
          <w:lang w:val="en-US"/>
        </w:rPr>
        <w:t>month rolling forecast (Oct</w:t>
      </w:r>
      <w:r>
        <w:rPr>
          <w:rtl w:val="1"/>
        </w:rPr>
        <w:t>’</w:t>
      </w:r>
      <w:r>
        <w:rPr>
          <w:rtl w:val="0"/>
        </w:rPr>
        <w:t>25</w:t>
      </w:r>
      <w:r>
        <w:rPr>
          <w:rtl w:val="0"/>
        </w:rPr>
        <w:t>–</w:t>
      </w:r>
      <w:r>
        <w:rPr>
          <w:rtl w:val="0"/>
          <w:lang w:val="en-US"/>
        </w:rPr>
        <w:t>Sep</w:t>
      </w:r>
      <w:r>
        <w:rPr>
          <w:rtl w:val="1"/>
        </w:rPr>
        <w:t>’</w:t>
      </w:r>
      <w:r>
        <w:rPr>
          <w:rtl w:val="0"/>
          <w:lang w:val="en-US"/>
        </w:rPr>
        <w:t>26) targets steady topline growth driven by volume (+1.0%/mo), price (+0.3%/mo) and mix (+0.2%/mo). GM trends modestly up from 51.5%</w:t>
      </w:r>
      <w:r>
        <w:rPr>
          <w:rtl w:val="0"/>
        </w:rPr>
        <w:t>→</w:t>
      </w:r>
      <w:r>
        <w:rPr>
          <w:rtl w:val="0"/>
          <w:lang w:val="en-US"/>
        </w:rPr>
        <w:t>52.0%, while SG&amp;A normalizes from 25%</w:t>
      </w:r>
      <w:r>
        <w:rPr>
          <w:rtl w:val="0"/>
        </w:rPr>
        <w:t>→</w:t>
      </w:r>
      <w:r>
        <w:rPr>
          <w:rtl w:val="0"/>
        </w:rPr>
        <w:t>23%.</w:t>
      </w:r>
      <w:r>
        <w:rPr>
          <w:rtl w:val="0"/>
        </w:rPr>
        <w:br w:type="textWrapping"/>
        <w:t xml:space="preserve">• </w:t>
      </w:r>
      <w:r>
        <w:rPr>
          <w:rtl w:val="0"/>
          <w:lang w:val="en-US"/>
        </w:rPr>
        <w:t xml:space="preserve">FCF proxy across the next 12 months totals 873.5M, assuming Capex at 1% of revenue and </w:t>
      </w:r>
      <w:r>
        <w:rPr>
          <w:rtl w:val="0"/>
        </w:rPr>
        <w:t>Δ</w:t>
      </w:r>
      <w:r>
        <w:rPr>
          <w:rtl w:val="0"/>
          <w:lang w:val="en-US"/>
        </w:rPr>
        <w:t>NWC at 1.5% of incremental revenue.</w:t>
      </w:r>
    </w:p>
    <w:p>
      <w:pPr>
        <w:pStyle w:val="Body"/>
      </w:pPr>
      <w:r>
        <w:rPr>
          <w:rtl w:val="0"/>
          <w:lang w:val="en-US"/>
        </w:rPr>
        <w:t>Variance Bridge (Plan vs. Actuals)</w:t>
      </w:r>
      <w:r>
        <w:rPr>
          <w:rtl w:val="0"/>
        </w:rPr>
        <w:br w:type="textWrapping"/>
        <w:t xml:space="preserve">• </w:t>
      </w:r>
      <w:r>
        <w:rPr>
          <w:rtl w:val="0"/>
          <w:lang w:val="en-US"/>
        </w:rPr>
        <w:t>Plan proxy for Q2</w:t>
      </w:r>
      <w:r>
        <w:rPr>
          <w:rtl w:val="1"/>
        </w:rPr>
        <w:t>’</w:t>
      </w:r>
      <w:r>
        <w:rPr>
          <w:rtl w:val="0"/>
          <w:lang w:val="en-US"/>
        </w:rPr>
        <w:t>25 revenue: ~$631.2M (consensus preview). Actual: $739.3M; variance +$108.1M.</w:t>
      </w:r>
      <w:r>
        <w:rPr>
          <w:rtl w:val="0"/>
        </w:rPr>
        <w:br w:type="textWrapping"/>
        <w:t xml:space="preserve">• </w:t>
      </w:r>
      <w:r>
        <w:rPr>
          <w:rtl w:val="0"/>
          <w:lang w:val="en-US"/>
        </w:rPr>
        <w:t>Drivers (estimates; tie to total): Volume +$55M; Price/Mix +$25M; Channel/Geo Mix +$15M; Alani Nu consolidation timing +$13.11M.</w:t>
      </w:r>
      <w:r>
        <w:rPr>
          <w:rtl w:val="0"/>
        </w:rPr>
        <w:br w:type="textWrapping"/>
        <w:t xml:space="preserve">• </w:t>
      </w:r>
      <w:r>
        <w:rPr>
          <w:rtl w:val="0"/>
          <w:lang w:val="en-US"/>
        </w:rPr>
        <w:t>Margin bridge (Plan 51.0% vs Actual 51.5%): +0.5 pp from material cost tailwinds, freight efficiencies, and portfolio/channel mix; partially offset by purchase accounting and Alani Nu margin profile.</w:t>
      </w:r>
    </w:p>
    <w:p>
      <w:pPr>
        <w:pStyle w:val="Body"/>
      </w:pPr>
      <w:r>
        <w:rPr>
          <w:rtl w:val="0"/>
          <w:lang w:val="en-US"/>
        </w:rPr>
        <w:t>Actions &amp; Callouts</w:t>
      </w:r>
      <w:r>
        <w:br w:type="textWrapping"/>
      </w:r>
      <w:r>
        <w:rPr>
          <w:rtl w:val="0"/>
          <w:lang w:val="en-US"/>
        </w:rPr>
        <w:t>1) Pricing &amp; Pack Architecture: Maintain disciplined promo calendar; lean into PPA where elasticity is favorable; protect ASPs in convenience and club.</w:t>
      </w:r>
      <w:r>
        <w:br w:type="textWrapping"/>
      </w:r>
      <w:r>
        <w:rPr>
          <w:rtl w:val="0"/>
          <w:lang w:val="en-US"/>
        </w:rPr>
        <w:t>2) Promo Mix ROI: Reallocate trade to high</w:t>
      </w:r>
      <w:r>
        <w:rPr>
          <w:rtl w:val="0"/>
        </w:rPr>
        <w:t>‑</w:t>
      </w:r>
      <w:r>
        <w:rPr>
          <w:rtl w:val="0"/>
          <w:lang w:val="en-US"/>
        </w:rPr>
        <w:t>velocity SKUs and channels; continue Amazon/DTC event plays that showed outsized conversion in Q2.</w:t>
      </w:r>
      <w:r>
        <w:br w:type="textWrapping"/>
      </w:r>
      <w:r>
        <w:rPr>
          <w:rtl w:val="0"/>
          <w:lang w:val="en-US"/>
        </w:rPr>
        <w:t>3) SG&amp;A Control: Strip one</w:t>
      </w:r>
      <w:r>
        <w:rPr>
          <w:rtl w:val="0"/>
        </w:rPr>
        <w:t>‑</w:t>
      </w:r>
      <w:r>
        <w:rPr>
          <w:rtl w:val="0"/>
          <w:lang w:val="en-US"/>
        </w:rPr>
        <w:t>time acquisition costs; target SG&amp;A run</w:t>
      </w:r>
      <w:r>
        <w:rPr>
          <w:rtl w:val="0"/>
        </w:rPr>
        <w:t>‑</w:t>
      </w:r>
      <w:r>
        <w:rPr>
          <w:rtl w:val="0"/>
        </w:rPr>
        <w:t xml:space="preserve">rate </w:t>
      </w:r>
      <w:r>
        <w:rPr>
          <w:rtl w:val="0"/>
        </w:rPr>
        <w:t>≤</w:t>
      </w:r>
      <w:r>
        <w:rPr>
          <w:rtl w:val="0"/>
          <w:lang w:val="en-US"/>
        </w:rPr>
        <w:t>24% by mid</w:t>
      </w:r>
      <w:r>
        <w:rPr>
          <w:rtl w:val="0"/>
        </w:rPr>
        <w:t>‑</w:t>
      </w:r>
      <w:r>
        <w:rPr>
          <w:rtl w:val="0"/>
          <w:lang w:val="en-US"/>
        </w:rPr>
        <w:t>2026 via integration synergies and media efficiency.</w:t>
      </w:r>
      <w:r>
        <w:br w:type="textWrapping"/>
      </w:r>
      <w:r>
        <w:rPr>
          <w:rtl w:val="0"/>
          <w:lang w:val="en-US"/>
        </w:rPr>
        <w:t>4) COGS Levers: Lock in aluminum and sweetener contracts opportunistically; keep freight bids competitive; scale co</w:t>
      </w:r>
      <w:r>
        <w:rPr>
          <w:rtl w:val="0"/>
        </w:rPr>
        <w:t>‑</w:t>
      </w:r>
      <w:r>
        <w:rPr>
          <w:rtl w:val="0"/>
          <w:lang w:val="en-US"/>
        </w:rPr>
        <w:t>packer efficiencies.</w:t>
      </w:r>
      <w:r>
        <w:br w:type="textWrapping"/>
      </w:r>
      <w:r>
        <w:rPr>
          <w:rtl w:val="0"/>
          <w:lang w:val="en-US"/>
        </w:rPr>
        <w:t>5) Category &amp; Mix: Prioritize high</w:t>
      </w:r>
      <w:r>
        <w:rPr>
          <w:rtl w:val="0"/>
        </w:rPr>
        <w:t>‑</w:t>
      </w:r>
      <w:r>
        <w:rPr>
          <w:rtl w:val="0"/>
          <w:lang w:val="en-US"/>
        </w:rPr>
        <w:t>margin innovation/LTO cadence; manage Alani Nu mix and step</w:t>
      </w:r>
      <w:r>
        <w:rPr>
          <w:rtl w:val="0"/>
        </w:rPr>
        <w:t>‑</w:t>
      </w:r>
      <w:r>
        <w:rPr>
          <w:rtl w:val="0"/>
          <w:lang w:val="en-US"/>
        </w:rPr>
        <w:t xml:space="preserve">up unwinds to sustain GM </w:t>
      </w:r>
      <w:r>
        <w:rPr>
          <w:rtl w:val="0"/>
        </w:rPr>
        <w:t>≥</w:t>
      </w:r>
      <w:r>
        <w:rPr>
          <w:rtl w:val="0"/>
        </w:rPr>
        <w:t>51.5%.</w:t>
      </w:r>
    </w:p>
    <w:p>
      <w:pPr>
        <w:pStyle w:val="Body"/>
      </w:pPr>
      <w:r>
        <w:rPr>
          <w:rtl w:val="0"/>
          <w:lang w:val="de-DE"/>
        </w:rPr>
        <w:t>Notes</w:t>
      </w:r>
      <w:r>
        <w:rPr>
          <w:rtl w:val="0"/>
        </w:rPr>
        <w:br w:type="textWrapping"/>
        <w:t>• “</w:t>
      </w:r>
      <w:r>
        <w:rPr>
          <w:rtl w:val="0"/>
        </w:rPr>
        <w:t>Plan</w:t>
      </w:r>
      <w:r>
        <w:rPr>
          <w:rtl w:val="0"/>
        </w:rPr>
        <w:t xml:space="preserve">” </w:t>
      </w:r>
      <w:r>
        <w:rPr>
          <w:rtl w:val="0"/>
          <w:lang w:val="en-US"/>
        </w:rPr>
        <w:t>references public consensus; internal AOP may differ. Drivers allocated using management commentary and category dynamics; methodology in workbook.</w:t>
      </w:r>
      <w:r>
        <w:rPr>
          <w:rtl w:val="0"/>
        </w:rPr>
        <w:br w:type="textWrapping"/>
        <w:t xml:space="preserve">• </w:t>
      </w:r>
      <w:r>
        <w:rPr>
          <w:rtl w:val="0"/>
          <w:lang w:val="en-US"/>
        </w:rPr>
        <w:t>See Excel pack for detail (assumptions, monthly forecast, bridges, KPIs).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