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 Risk Brief &amp; Stress Test — JPMorgan Chase (JPM)</w:t>
      </w:r>
    </w:p>
    <w:p>
      <w:r>
        <w:rPr>
          <w:b/>
        </w:rPr>
        <w:t xml:space="preserve">Date: </w:t>
      </w:r>
      <w:r>
        <w:t>Oct 21, 2025</w:t>
      </w:r>
    </w:p>
    <w:p>
      <w:pPr>
        <w:pStyle w:val="Heading2"/>
      </w:pPr>
      <w:r>
        <w:t>Executive Summary</w:t>
      </w:r>
    </w:p>
    <w:p>
      <w:r>
        <w:t>Base 3Q25 results show total net revenue of $46.4B, interest expense of $25.5B, and PPNR of $22.1B. Reported net income was $14.4B (tax rate 23.2%). Regulatory capital is strong (CET1 14.8%), with liquidity of roughly $1500B in cash &amp; marketable securities.</w:t>
      </w:r>
    </w:p>
    <w:p>
      <w:pPr>
        <w:pStyle w:val="Heading2"/>
      </w:pPr>
      <w:r>
        <w:t>Leverage, Coverage &amp; Liquidity</w:t>
      </w:r>
    </w:p>
    <w:p>
      <w:r>
        <w:t>Leverage (proxy): Interest‑bearing liabilities/Common equity ≈ 9.6x. Coverage (gross, bank proxy): Net revenue/interest expense ≈ 1.82x. Liquidity: Deposits/Loans ≈ 1.8x; HQLA/Assets (proxy) ≈ 33.33%.</w:t>
      </w:r>
    </w:p>
    <w:p>
      <w:pPr>
        <w:pStyle w:val="Heading2"/>
      </w:pPr>
      <w:r>
        <w:t>Stress Scenario</w:t>
      </w:r>
    </w:p>
    <w:p>
      <w:r>
        <w:t>Assumptions: –10% total net revenue, +200 bps to funding cost (interest‑bearing liabilities), +5 days DSO and +5 days ‘inventory’ (trading) proxy.</w:t>
      </w:r>
    </w:p>
    <w:p>
      <w:r>
        <w:t>Results (quarterly): Net revenue $41.8B; interest expense $41.6B; PPNR $17.7B; pretax $-2.5B; net income $-1.9B. Working‑capital drag ≈ $1.6B; capex proxy $0.2B; FCF proxy $-3.8B. Coverage falls to 1.00x.</w:t>
      </w:r>
    </w:p>
    <w:p>
      <w:pPr>
        <w:pStyle w:val="Heading2"/>
      </w:pPr>
      <w:r>
        <w:t>Covenants &amp; Early‑Warning Indicators</w:t>
      </w:r>
    </w:p>
    <w:p>
      <w:r>
        <w:t>• Maintain CET1 ≥ 13.0% and TLAC compliance; board notification if CET1 &lt; 13.5%.</w:t>
      </w:r>
    </w:p>
    <w:p>
      <w:r>
        <w:t>• Minimum Liquidity: HQLA ≥ $1.3T; LCR ≥ 110% (monitor daily).</w:t>
      </w:r>
    </w:p>
    <w:p>
      <w:r>
        <w:t>• Leverage guardrail: Interest‑bearing liabilities/Common equity ≤ 11x.</w:t>
      </w:r>
    </w:p>
    <w:p>
      <w:r>
        <w:t>• Earnings protection: PPNR ≥ $18B/quarter; Markets VaR within approved bands.</w:t>
      </w:r>
    </w:p>
    <w:p>
      <w:r>
        <w:t>• EWIs: rapid deposit outflows (&gt;2% weekly), widening wholesale funding spreads (+50 bps w/w), credit card charge‑offs &gt;3.5%, criticized CRE growth &gt;10% q/q.</w:t>
      </w:r>
    </w:p>
    <w:p>
      <w:pPr>
        <w:pStyle w:val="Heading2"/>
      </w:pPr>
      <w:r>
        <w:t>Risk Mitigants &amp; Monitoring Plan</w:t>
      </w:r>
    </w:p>
    <w:p>
      <w:r>
        <w:t>• Risk limits: tighten counterparty and sector limits in CRE and high‑yield; set tenor caps on unsecured wholesale funding.</w:t>
      </w:r>
    </w:p>
    <w:p>
      <w:r>
        <w:t>• Collateralization: prioritize secured funding; require additional margin for lower‑rated counterparties.</w:t>
      </w:r>
    </w:p>
    <w:p>
      <w:r>
        <w:t>• Triggers: activate liquidity playbook if coverage &lt;1.4x or deposit outflows exceed thresholds; pause buybacks if CET1 &lt;14%.</w:t>
      </w:r>
    </w:p>
    <w:p>
      <w:r>
        <w:t>• Monitoring: weekly KPI pack (PPNR run‑rate, deposit beta, funding gap, NII sensitivity, VaR/utilization, LCR/HQLA, card NCOs).</w:t>
      </w:r>
    </w:p>
    <w:p>
      <w:pPr>
        <w:pStyle w:val="Heading2"/>
      </w:pPr>
      <w:r>
        <w:t>Data Notes</w:t>
      </w:r>
    </w:p>
    <w:p>
      <w:r>
        <w:t>Figures reflect JPM’s 3Q25 public filings; where granular data is unavailable, standard proxies are used (coverage definition, WC days, capex % of revenue). See Excel workbook for all formulas.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