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Aptos Display" w:hAnsi="Aptos Display"/>
          <w:b/>
          <w:color w:val="0B2545"/>
          <w:sz w:val="68"/>
        </w:rPr>
        <w:t>AI EDITORIAL</w:t>
        <w:br/>
        <w:t>FACTORY</w:t>
      </w:r>
    </w:p>
    <w:p>
      <w:pPr>
        <w:spacing w:after="400"/>
      </w:pPr>
      <w:r>
        <w:rPr>
          <w:rFonts w:ascii="Aptos Display" w:hAnsi="Aptos Display"/>
          <w:b/>
          <w:color w:val="1677FF"/>
          <w:sz w:val="32"/>
        </w:rPr>
        <w:t>DOCUMENTO AGENTICO DI PROGETTO</w:t>
      </w:r>
    </w:p>
    <w:p>
      <w:pPr>
        <w:pStyle w:val="Subtitle"/>
        <w:spacing w:after="560"/>
      </w:pPr>
      <w:r>
        <w:rPr>
          <w:rFonts w:ascii="Aptos" w:hAnsi="Aptos"/>
          <w:color w:val="586879"/>
          <w:sz w:val="26"/>
        </w:rPr>
        <w:t>Architettura, agenti, workflow, dati, sicurezza, pubblicazione e roadmap della redazione multi-agente per manuali tecnici.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</w:rPr>
              <w:t>Proprietario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t>Daniel Meloni</w:t>
            </w:r>
          </w:p>
        </w:tc>
      </w:tr>
      <w:tr>
        <w:tc>
          <w:tcPr>
            <w:tcW w:type="dxa" w:w="2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</w:rPr>
              <w:t>Versione documento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t>1.0</w:t>
            </w:r>
          </w:p>
        </w:tc>
      </w:tr>
      <w:tr>
        <w:tc>
          <w:tcPr>
            <w:tcW w:type="dxa" w:w="2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</w:rPr>
              <w:t>Stato progetto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t>Fase 7 di 8 completata; Fase 8 progettata</w:t>
            </w:r>
          </w:p>
        </w:tc>
      </w:tr>
    </w:tbl>
    <w:p>
      <w:pPr>
        <w:spacing w:before="480"/>
      </w:pPr>
      <w:r>
        <w:rPr>
          <w:b/>
          <w:color w:val="19C3E6"/>
          <w:sz w:val="18"/>
        </w:rPr>
        <w:t>PRINCIPIO GUIDA</w:t>
      </w:r>
    </w:p>
    <w:p>
      <w:pPr>
        <w:pStyle w:val="Callout"/>
        <w:shd w:fill="F4F7FA"/>
      </w:pPr>
      <w:r>
        <w:t>Gli agenti propongono, gli esseri umani decidono. Il contenuto originale resta immutabile e ogni pubblicazione richiede approvazione esplicita.</w:t>
      </w:r>
    </w:p>
    <w:p>
      <w:r>
        <w:br w:type="page"/>
      </w:r>
    </w:p>
    <w:p>
      <w:pPr>
        <w:pStyle w:val="Heading1"/>
      </w:pPr>
      <w:r>
        <w:t>1. Scopo e perimetro</w:t>
      </w:r>
    </w:p>
    <w:p>
      <w:r>
        <w:t>AI Editorial Factory è una piattaforma editoriale multi-agente che trasforma materiali tecnici grezzi — capitoli Markdown, codice, appendici, immagini e fonti — in opere verificate, illustrate e pubblicabili. Il primo pilota è Dataform in Pratica – Volume 1, ma il dominio applicativo è generico e riutilizzabile.</w:t>
      </w:r>
    </w:p>
    <w:p>
      <w:pPr>
        <w:pStyle w:val="Heading2"/>
      </w:pPr>
      <w:r>
        <w:t>Obiettivi di sistema</w:t>
      </w:r>
    </w:p>
    <w:p>
      <w:pPr>
        <w:pStyle w:val="ListBullet"/>
      </w:pPr>
      <w:r>
        <w:t>Ridurre il lavoro ripetitivo senza cedere il controllo editoriale all’AI.</w:t>
      </w:r>
    </w:p>
    <w:p>
      <w:pPr>
        <w:pStyle w:val="ListBullet"/>
      </w:pPr>
      <w:r>
        <w:t>Rendere tracciabile ogni proposta, fonte, revisione, approvazione ed esportazione.</w:t>
      </w:r>
    </w:p>
    <w:p>
      <w:pPr>
        <w:pStyle w:val="ListBullet"/>
      </w:pPr>
      <w:r>
        <w:t>Separare l’analisi deterministica dall’elaborazione generativa.</w:t>
      </w:r>
    </w:p>
    <w:p>
      <w:pPr>
        <w:pStyle w:val="ListBullet"/>
      </w:pPr>
      <w:r>
        <w:t>Produrre libri, articoli, lezioni e asset visuali coerenti a partire da una sola base editoriale.</w:t>
      </w:r>
    </w:p>
    <w:p>
      <w:pPr>
        <w:pStyle w:val="ListBullet"/>
      </w:pPr>
      <w:r>
        <w:t>Estendere il modello dal singolo volume alla gestione completa di collane.</w:t>
      </w:r>
    </w:p>
    <w:p>
      <w:pPr>
        <w:pStyle w:val="Heading2"/>
      </w:pPr>
      <w:r>
        <w:t>Principi non negoziabili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691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Garanzia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Originale immutabile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Ogni intervento crea una nuova versione confrontabile e ripristinabile.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Human-in-the-loop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 workflow si sospendono sui gate; nessuna pubblicazione automatica.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Fonti verificabili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Gli URL proposti vengono aperti e validati prima di essere mostrati.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Tenant isolation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RLS su tutte le tabelle esposte e controlli di appartenenza lato server.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Niente funzioni simulate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Le azioni non implementate sono disabilitate e dichiarate prossime.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Sviluppo economico</w:t>
            </w:r>
          </w:p>
        </w:tc>
        <w:tc>
          <w:tcPr>
            <w:tcW w:type="dxa" w:w="69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Provider mock predefiniti per percorrere il flusso senza crediti AI.</w:t>
            </w:r>
          </w:p>
        </w:tc>
      </w:tr>
    </w:tbl>
    <w:p>
      <w:pPr>
        <w:spacing w:after="20"/>
      </w:pPr>
    </w:p>
    <w:p>
      <w:pPr>
        <w:pStyle w:val="Heading1"/>
      </w:pPr>
      <w:r>
        <w:t>2. Stato del progetto</w:t>
      </w:r>
    </w:p>
    <w:p>
      <w:r>
        <w:t>La piattaforma ha completato sette fasi su otto. Il percorso operativo copre autenticazione, progetto, ingestione, riconoscimento della struttura, audit tecnico, revisione umana, diagrammi, copertina e pubblicazione in Markdown, HTML, PDF ed EPUB. La Fase 8, dedicata alle collane, dispone già di schema dati e modelli di dominio ma non ancora di interfaccia e workflow.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c>
          <w:tcPr>
            <w:tcW w:type="dxa" w:w="26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9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Stato</w:t>
            </w:r>
          </w:p>
        </w:tc>
        <w:tc>
          <w:tcPr>
            <w:tcW w:type="dxa" w:w="48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Fondazioni e autenticazione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Operativa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Sessioni SSR, PKCE, rotte protette, recupero password.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Database e sicurezza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Operativa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Migration, storage privato, RLS e test PostgreSQL reali.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Agenti e workflow capitolo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Parziale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4 agenti capitolo operativi su 12 previsti; gate umano attivo.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Visual e copertine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Operativa / parziale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Diagrammi e cover programmatici; provider visuali reali da integrare.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Pubblicazione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Operativa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Markdown, HTML, PDF, EPUB, articolo e lezione.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Collane editoriali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Progettata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17 tabelle e regole presenti; UI e 6 agenti ancora assenti.</w:t>
            </w:r>
          </w:p>
        </w:tc>
      </w:tr>
    </w:tbl>
    <w:p>
      <w:pPr>
        <w:spacing w:after="20"/>
      </w:pPr>
    </w:p>
    <w:p>
      <w:r>
        <w:t>Baseline dichiarata dal repository: lint e typecheck senza errori, 469 test su 30 file, build con 26 rotte e 22 controlli smoke HTTP.</w:t>
      </w:r>
    </w:p>
    <w:p>
      <w:pPr>
        <w:pStyle w:val="Heading1"/>
      </w:pPr>
      <w:r>
        <w:t>3. Architettura applicativa</w:t>
      </w:r>
    </w:p>
    <w:p>
      <w:r>
        <w:t>La soluzione adotta un monolite modulare Next.js con App Router. La durabilità dei processi lunghi è delegata a workflow asincroni, evitando microservizi prematuri. Le dipendenze sono unidirezionali: app e componenti dipendono dal dominio; il dominio dipende dagli adapter infrastrutturali Supabase e AI.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43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Responsabilità</w:t>
            </w:r>
          </w:p>
        </w:tc>
        <w:tc>
          <w:tcPr>
            <w:tcW w:type="dxa" w:w="29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Regola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app/ e components/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Rotte, Server Component, Server Action, interfaccia utente.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Non contiene logica infrastrutturale sensibile.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lib/ dominio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Validazione, regole editoriali, contratti agenti, workflow, publishing.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Espone funzioni testabili e provider-agnostic.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lib/supabase e lib/ai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Persistenza, sessioni, storage e provider AI.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Implementa interfacce; i segreti restano server-only.</w:t>
            </w:r>
          </w:p>
        </w:tc>
      </w:tr>
    </w:tbl>
    <w:p>
      <w:pPr>
        <w:spacing w:after="20"/>
      </w:pPr>
    </w:p>
    <w:p>
      <w:pPr>
        <w:pStyle w:val="Heading2"/>
      </w:pPr>
      <w:r>
        <w:t>Stack tecnologico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Ambito</w:t>
            </w:r>
          </w:p>
        </w:tc>
        <w:tc>
          <w:tcPr>
            <w:tcW w:type="dxa" w:w="65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Web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Next.js 16.3, React 19.2, TypeScript 5.9 strict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UI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Tailwind CSS 4.3, primitive accessibili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Dati e identità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Supabase: PostgreSQL, Auth, Storage, SSR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Validazione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Zod 4.4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Workflow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Workflow SDK 4.8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Contenuti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Unified, Remark, Rehype, unpdf, fflate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React PDF, Markdown, HTML, EPUB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Qualità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Vitest, Playwright, ESLint 9, PGlite</w:t>
            </w:r>
          </w:p>
        </w:tc>
      </w:tr>
    </w:tbl>
    <w:p>
      <w:pPr>
        <w:spacing w:after="20"/>
      </w:pPr>
    </w:p>
    <w:p>
      <w:pPr>
        <w:pStyle w:val="Heading2"/>
      </w:pPr>
      <w:r>
        <w:t>Client Supabase</w:t>
      </w:r>
    </w:p>
    <w:p>
      <w:pPr>
        <w:pStyle w:val="ListBullet"/>
      </w:pPr>
      <w:r>
        <w:t>Browser client: publishable key, nessun segreto nel bundle.</w:t>
      </w:r>
    </w:p>
    <w:p>
      <w:pPr>
        <w:pStyle w:val="ListBullet"/>
      </w:pPr>
      <w:r>
        <w:t>Server client: sessione da cookie e RLS attiva per componenti, action e route handler.</w:t>
      </w:r>
    </w:p>
    <w:p>
      <w:pPr>
        <w:pStyle w:val="ListBullet"/>
      </w:pPr>
      <w:r>
        <w:t>Proxy client: rinnova token e cookie e governa i redirect di autenticazione.</w:t>
      </w:r>
    </w:p>
    <w:p>
      <w:pPr>
        <w:pStyle w:val="ListBullet"/>
      </w:pPr>
      <w:r>
        <w:t>Admin client: service role confinato al server e ammesso solo dopo verifica esplicita dell’organizzazione.</w:t>
      </w:r>
    </w:p>
    <w:p>
      <w:pPr>
        <w:pStyle w:val="Heading1"/>
      </w:pPr>
      <w:r>
        <w:t>4. Modello agentico</w:t>
      </w:r>
    </w:p>
    <w:p>
      <w:r>
        <w:t>L’agente è un operatore specializzato con un contratto di input/output validato da Zod, configurazione di provider e modello, prompt versionato e tracciamento dell’esecuzione. Il runner non concede potere di pubblicazione: produce risultati strutturati che diventano proposte revisionabili.</w:t>
      </w:r>
    </w:p>
    <w:p>
      <w:pPr>
        <w:pStyle w:val="Heading2"/>
      </w:pPr>
      <w:r>
        <w:t>Ciclo di esecuzione standard</w:t>
      </w:r>
    </w:p>
    <w:p>
      <w:pPr>
        <w:spacing w:after="60" w:line="269" w:lineRule="auto"/>
        <w:ind w:left="490" w:hanging="317"/>
      </w:pPr>
      <w:r>
        <w:t>1.</w:t>
        <w:tab/>
        <w:t>Preparare il contesto minimo necessario: progetto, capitolo, versione, fonti e regole editoriali.</w:t>
      </w:r>
    </w:p>
    <w:p>
      <w:pPr>
        <w:spacing w:after="60" w:line="269" w:lineRule="auto"/>
        <w:ind w:left="490" w:hanging="317"/>
      </w:pPr>
      <w:r>
        <w:t>2.</w:t>
        <w:tab/>
        <w:t>Validare l’input con lo schema dell’agente e registrare l’esecuzione.</w:t>
      </w:r>
    </w:p>
    <w:p>
      <w:pPr>
        <w:spacing w:after="60" w:line="269" w:lineRule="auto"/>
        <w:ind w:left="490" w:hanging="317"/>
      </w:pPr>
      <w:r>
        <w:t>3.</w:t>
        <w:tab/>
        <w:t>Selezionare il provider tramite registry comune; in sviluppo usare il mock.</w:t>
      </w:r>
    </w:p>
    <w:p>
      <w:pPr>
        <w:spacing w:after="60" w:line="269" w:lineRule="auto"/>
        <w:ind w:left="490" w:hanging="317"/>
      </w:pPr>
      <w:r>
        <w:t>4.</w:t>
        <w:tab/>
        <w:t>Eseguire analisi deterministiche prima della generazione AI.</w:t>
      </w:r>
    </w:p>
    <w:p>
      <w:pPr>
        <w:spacing w:after="60" w:line="269" w:lineRule="auto"/>
        <w:ind w:left="490" w:hanging="317"/>
      </w:pPr>
      <w:r>
        <w:t>5.</w:t>
        <w:tab/>
        <w:t>Validare l’output strutturato; rifiutare risposte incomplete o fuori contratto.</w:t>
      </w:r>
    </w:p>
    <w:p>
      <w:pPr>
        <w:spacing w:after="60" w:line="269" w:lineRule="auto"/>
        <w:ind w:left="490" w:hanging="317"/>
      </w:pPr>
      <w:r>
        <w:t>6.</w:t>
        <w:tab/>
        <w:t>Persistire risultato, motivazioni, riferimenti e metadati di costo/modello.</w:t>
      </w:r>
    </w:p>
    <w:p>
      <w:pPr>
        <w:spacing w:after="60" w:line="269" w:lineRule="auto"/>
        <w:ind w:left="490" w:hanging="317"/>
      </w:pPr>
      <w:r>
        <w:t>7.</w:t>
        <w:tab/>
        <w:t>Sospendere il workflow e richiedere revisione o approvazione umana.</w:t>
      </w:r>
    </w:p>
    <w:p>
      <w:pPr>
        <w:spacing w:after="60" w:line="269" w:lineRule="auto"/>
        <w:ind w:left="490" w:hanging="317"/>
      </w:pPr>
      <w:r>
        <w:t>8.</w:t>
        <w:tab/>
        <w:t>Applicare soltanto gli elementi approvati creando una nuova versione.</w:t>
      </w:r>
    </w:p>
    <w:p>
      <w:pPr>
        <w:pStyle w:val="Heading2"/>
      </w:pPr>
      <w:r>
        <w:t>Agenti di capitolo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5260"/>
        <w:gridCol w:w="1700"/>
      </w:tblGrid>
      <w:tr>
        <w:tc>
          <w:tcPr>
            <w:tcW w:type="dxa" w:w="24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52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Responsabilità</w:t>
            </w:r>
          </w:p>
        </w:tc>
        <w:tc>
          <w:tcPr>
            <w:tcW w:type="dxa" w:w="17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Technical Accuracy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Verifica codice, configurazioni e affermazioni tecniche.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Operativo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Source &amp; Claims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Rileva claim senza fonte e propone riferimenti verificabili.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Operativo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Structure &amp; Flow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Valuta struttura, ordine e continuità didattica.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Operativo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Editorial Revision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Propone una nuova versione del testo senza alterare l’originale.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Operativo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Style &amp; Tone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Uniformità di voce, leggibilità e convenzioni.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Previsto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Terminology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Glossario, acronimi e coerenza lessicale.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Previsto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Code Review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Correttezza e qualità degli esempi eseguibili.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Previsto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Learning Design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Obiettivi, prerequisiti, esercizi e progressione.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Previsto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Accessibility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Alt text, struttura semantica e fruibilità.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Previsto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Visual Planning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Individua diagrammi e illustrazioni utili.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Previsto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Metadata &amp; SEO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Metadati per web, blog e discovery.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Previsto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Publication Readiness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Controllo finale dei criteri di pubblicazione.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Previsto</w:t>
            </w:r>
          </w:p>
        </w:tc>
      </w:tr>
    </w:tbl>
    <w:p>
      <w:pPr>
        <w:spacing w:after="20"/>
      </w:pPr>
    </w:p>
    <w:p>
      <w:pPr>
        <w:pStyle w:val="Heading2"/>
      </w:pPr>
      <w:r>
        <w:t>Agenti di collana — Fase 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63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Missione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Series Architect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Struttura, posizionamento e roadmap della collana.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Series Curriculum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Progressione didattica, prerequisiti, lacune e duplicazioni.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Series Consistency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Coerenza editoriale, terminologica, visiva e tecnica fra volumi.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Series Visual Director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Identità comune e variazioni controllate per volume.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Cross-Volume Reference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Integrità dei riferimenti fra capitoli e volumi.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Series Publishing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Catalogo, schede volume, scaffale e pacchetto promozionale.</w:t>
            </w:r>
          </w:p>
        </w:tc>
      </w:tr>
    </w:tbl>
    <w:p>
      <w:pPr>
        <w:spacing w:after="20"/>
      </w:pPr>
    </w:p>
    <w:p>
      <w:r>
        <w:rPr>
          <w:b/>
        </w:rPr>
        <w:t>Regola di governance:</w:t>
      </w:r>
      <w:r>
        <w:t xml:space="preserve"> tutti gli agenti propongono e nessuno applica modifiche definitive senza autorizzazione umana.</w:t>
      </w:r>
    </w:p>
    <w:p>
      <w:pPr>
        <w:pStyle w:val="Heading1"/>
      </w:pPr>
      <w:r>
        <w:t>5. Workflow editoriale end-to-end</w:t>
      </w:r>
    </w:p>
    <w:p>
      <w:pPr>
        <w:spacing w:after="60" w:line="269" w:lineRule="auto"/>
        <w:ind w:left="490" w:hanging="317"/>
      </w:pPr>
      <w:r>
        <w:t>1.</w:t>
        <w:tab/>
        <w:t>Creazione del progetto: autore, titolo, lingua, volume e brief editoriale.</w:t>
      </w:r>
    </w:p>
    <w:p>
      <w:pPr>
        <w:spacing w:after="60" w:line="269" w:lineRule="auto"/>
        <w:ind w:left="490" w:hanging="317"/>
      </w:pPr>
      <w:r>
        <w:t>2.</w:t>
        <w:tab/>
        <w:t>Ingestione: caricamento ZIP in storage privato con protezioni contro path traversal e zip bomb.</w:t>
      </w:r>
    </w:p>
    <w:p>
      <w:pPr>
        <w:spacing w:after="60" w:line="269" w:lineRule="auto"/>
        <w:ind w:left="490" w:hanging="317"/>
      </w:pPr>
      <w:r>
        <w:t>3.</w:t>
        <w:tab/>
        <w:t>Classificazione: riconoscimento di front matter, parti, capitoli, appendici e asset; ordinamento numerico.</w:t>
      </w:r>
    </w:p>
    <w:p>
      <w:pPr>
        <w:spacing w:after="60" w:line="269" w:lineRule="auto"/>
        <w:ind w:left="490" w:hanging="317"/>
      </w:pPr>
      <w:r>
        <w:t>4.</w:t>
        <w:tab/>
        <w:t>Confronto strutturale: indice dichiarato contro cartelle e file realmente presenti.</w:t>
      </w:r>
    </w:p>
    <w:p>
      <w:pPr>
        <w:spacing w:after="60" w:line="269" w:lineRule="auto"/>
        <w:ind w:left="490" w:hanging="317"/>
      </w:pPr>
      <w:r>
        <w:t>5.</w:t>
        <w:tab/>
        <w:t>Audit: analisi di SQLX, SQL, JavaScript, claim, fonti, struttura e rischi editoriali.</w:t>
      </w:r>
    </w:p>
    <w:p>
      <w:pPr>
        <w:spacing w:after="60" w:line="269" w:lineRule="auto"/>
        <w:ind w:left="490" w:hanging="317"/>
      </w:pPr>
      <w:r>
        <w:t>6.</w:t>
        <w:tab/>
        <w:t>Ricerca fonti: catalogo ufficiale, biblioteca del progetto e ricerca web verificata.</w:t>
      </w:r>
    </w:p>
    <w:p>
      <w:pPr>
        <w:spacing w:after="60" w:line="269" w:lineRule="auto"/>
        <w:ind w:left="490" w:hanging="317"/>
      </w:pPr>
      <w:r>
        <w:t>7.</w:t>
        <w:tab/>
        <w:t>Proposta: nuova versione con modifiche granulari, motivazioni e riferimenti.</w:t>
      </w:r>
    </w:p>
    <w:p>
      <w:pPr>
        <w:spacing w:after="60" w:line="269" w:lineRule="auto"/>
        <w:ind w:left="490" w:hanging="317"/>
      </w:pPr>
      <w:r>
        <w:t>8.</w:t>
        <w:tab/>
        <w:t>Revisione: diff per righe e parole, accettazione parziale, editing manuale, commenti e ripristino.</w:t>
      </w:r>
    </w:p>
    <w:p>
      <w:pPr>
        <w:spacing w:after="60" w:line="269" w:lineRule="auto"/>
        <w:ind w:left="490" w:hanging="317"/>
      </w:pPr>
      <w:r>
        <w:t>9.</w:t>
        <w:tab/>
        <w:t>Visual: diagrammi deterministici e illustrazioni versionate con approvazione.</w:t>
      </w:r>
    </w:p>
    <w:p>
      <w:pPr>
        <w:spacing w:after="60" w:line="269" w:lineRule="auto"/>
        <w:ind w:left="490" w:hanging="317"/>
      </w:pPr>
      <w:r>
        <w:t>10.</w:t>
        <w:tab/>
        <w:t>Cover Studio: fronte, dorso e quarta; testi e logo composti programmaticamente.</w:t>
      </w:r>
    </w:p>
    <w:p>
      <w:pPr>
        <w:spacing w:after="60" w:line="269" w:lineRule="auto"/>
        <w:ind w:left="490" w:hanging="317"/>
      </w:pPr>
      <w:r>
        <w:t>11.</w:t>
        <w:tab/>
        <w:t>Preflight: controllo stato asset, approvazioni, struttura, fonti e configurazione output.</w:t>
      </w:r>
    </w:p>
    <w:p>
      <w:pPr>
        <w:spacing w:after="60" w:line="269" w:lineRule="auto"/>
        <w:ind w:left="490" w:hanging="317"/>
      </w:pPr>
      <w:r>
        <w:t>12.</w:t>
        <w:tab/>
        <w:t>Pubblicazione: generazione di export e accesso tramite URL firmato.</w:t>
      </w:r>
    </w:p>
    <w:p>
      <w:pPr>
        <w:pStyle w:val="Heading2"/>
      </w:pPr>
      <w:r>
        <w:t>Stati e gate</w:t>
      </w:r>
    </w:p>
    <w:p>
      <w:r>
        <w:t>Ogni esecuzione passa attraverso stati condivisi fra TypeScript e PostgreSQL: in attesa, in esecuzione, sospesa per input umano, completata o fallita. Il gate spezza deliberatamente l’automazione tra proposta e applicazione. Rifiuto e approvazione parziale sono esiti normali, non eccezioni.</w:t>
      </w:r>
    </w:p>
    <w:p>
      <w:pPr>
        <w:pStyle w:val="Heading1"/>
      </w:pPr>
      <w:r>
        <w:t>6. Fonti, ricerca e verificabilità</w:t>
      </w:r>
    </w:p>
    <w:p>
      <w:r>
        <w:t>Il sistema combina tre canali mantenendo visibile l’origine di ciascun risultato.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Canale</w:t>
            </w:r>
          </w:p>
        </w:tc>
        <w:tc>
          <w:tcPr>
            <w:tcW w:type="dxa" w:w="43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Meccanismo</w:t>
            </w:r>
          </w:p>
        </w:tc>
        <w:tc>
          <w:tcPr>
            <w:tcW w:type="dxa" w:w="29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Vincolo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Catalogo ufficiale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Indice curato e aggiornabile dalle sitemap della documentazione.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Non propone una pagina generica quando non esiste una corrispondenza pertinente.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Biblioteca progetto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Link e PDF caricati dall’utente; PDF indicizzati pagina per pagina.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Ogni risultato conserva origine e pagina.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Web discovery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Provider di ricerca AI, seguito da apertura reale dell’URL.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Le pagine non raggiungibili non vengono mostrate.</w:t>
            </w:r>
          </w:p>
        </w:tc>
      </w:tr>
    </w:tbl>
    <w:p>
      <w:pPr>
        <w:spacing w:after="20"/>
      </w:pPr>
    </w:p>
    <w:p>
      <w:pPr>
        <w:pStyle w:val="ListBullet"/>
      </w:pPr>
      <w:r>
        <w:t>Ogni claim rilevante deve essere collegabile a una fonte o marcato come non verificato.</w:t>
      </w:r>
    </w:p>
    <w:p>
      <w:pPr>
        <w:pStyle w:val="ListBullet"/>
      </w:pPr>
      <w:r>
        <w:t>Titolo e metadati della fonte derivano dalla pagina letta, non dall’immaginazione del modello.</w:t>
      </w:r>
    </w:p>
    <w:p>
      <w:pPr>
        <w:pStyle w:val="ListBullet"/>
      </w:pPr>
      <w:r>
        <w:t>Le fonti proposte entrano in una coda di accettazione o scarto umano.</w:t>
      </w:r>
    </w:p>
    <w:p>
      <w:pPr>
        <w:pStyle w:val="ListBullet"/>
      </w:pPr>
      <w:r>
        <w:t>La bibliografia può essere ricostruita dalle fonti effettivamente approvate.</w:t>
      </w:r>
    </w:p>
    <w:p>
      <w:pPr>
        <w:pStyle w:val="Heading1"/>
      </w:pPr>
      <w:r>
        <w:t>7. Versionamento e revisione umana</w:t>
      </w:r>
    </w:p>
    <w:p>
      <w:r>
        <w:t>Il contenuto sorgente non viene sovrascritto. Ogni proposta produce una versione figlia collegata al capitolo e all’esecuzione che l’ha generata. La workbench di revisione consente confronto, approvazione per porzioni, modifica manuale, commenti e rollback.</w:t>
      </w:r>
    </w:p>
    <w:p>
      <w:pPr>
        <w:pStyle w:val="Heading2"/>
      </w:pPr>
      <w:r>
        <w:t>Invarianti</w:t>
      </w:r>
    </w:p>
    <w:p>
      <w:pPr>
        <w:pStyle w:val="ListBullet"/>
      </w:pPr>
      <w:r>
        <w:t>Una proposta deve essere attribuibile ad agente, provider, modello, prompt e timestamp.</w:t>
      </w:r>
    </w:p>
    <w:p>
      <w:pPr>
        <w:pStyle w:val="ListBullet"/>
      </w:pPr>
      <w:r>
        <w:t>L’approvazione deve registrare identità, data e perimetro degli elementi accettati.</w:t>
      </w:r>
    </w:p>
    <w:p>
      <w:pPr>
        <w:pStyle w:val="ListBullet"/>
      </w:pPr>
      <w:r>
        <w:t>Un asset approvato può sostituire il precedente, che passa a superseded senza essere cancellato.</w:t>
      </w:r>
    </w:p>
    <w:p>
      <w:pPr>
        <w:pStyle w:val="ListBullet"/>
      </w:pPr>
      <w:r>
        <w:t>La pubblicazione usa soltanto versioni e asset nello stato ammesso dal preflight.</w:t>
      </w:r>
    </w:p>
    <w:p>
      <w:pPr>
        <w:pStyle w:val="ListBullet"/>
      </w:pPr>
      <w:r>
        <w:t>Il ripristino crea un nuovo evento/versione; non cancella la storia.</w:t>
      </w:r>
    </w:p>
    <w:p>
      <w:pPr>
        <w:pStyle w:val="Heading1"/>
      </w:pPr>
      <w:r>
        <w:t>8. Sistema visuale e copertine</w:t>
      </w:r>
    </w:p>
    <w:p>
      <w:r>
        <w:t>Il progetto separa nettamente ciò che deve essere tecnicamente esatto da ciò che può essere generativo.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c>
          <w:tcPr>
            <w:tcW w:type="dxa" w:w="21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Famiglia</w:t>
            </w:r>
          </w:p>
        </w:tc>
        <w:tc>
          <w:tcPr>
            <w:tcW w:type="dxa" w:w="35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Produzione</w:t>
            </w:r>
          </w:p>
        </w:tc>
        <w:tc>
          <w:tcPr>
            <w:tcW w:type="dxa" w:w="37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Proprietà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Diagrammi tecnici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Mermaid o SVG da codice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Deterministici, riproducibili, sempre accompagnati da alt text.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Illustrazioni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Adapter visuale configurabile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Prompt, negative prompt, provider, modello, seed, costo e parentela versionati.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Copertine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Composizione programmatica + eventuale sfondo generato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Titolo, autore, logo, dorso e geometria restano controllabili e verificabili.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Anteprime corsi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SVG 16:9 da codice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Identità coerente, testo esatto e asset autosufficiente.</w:t>
            </w:r>
          </w:p>
        </w:tc>
      </w:tr>
    </w:tbl>
    <w:p>
      <w:pPr>
        <w:spacing w:after="20"/>
      </w:pPr>
    </w:p>
    <w:p>
      <w:pPr>
        <w:pStyle w:val="Heading2"/>
      </w:pPr>
      <w:r>
        <w:t>Regole della copertina</w:t>
      </w:r>
    </w:p>
    <w:p>
      <w:pPr>
        <w:pStyle w:val="ListBullet"/>
      </w:pPr>
      <w:r>
        <w:t>Larghezza foglio = 2 × pagina + dorso + 2 × abbondanza.</w:t>
      </w:r>
    </w:p>
    <w:p>
      <w:pPr>
        <w:pStyle w:val="ListBullet"/>
      </w:pPr>
      <w:r>
        <w:t>Il dorso può derivare da mm/pagina, pagine per pollice o valore fisso del fornitore.</w:t>
      </w:r>
    </w:p>
    <w:p>
      <w:pPr>
        <w:pStyle w:val="ListBullet"/>
      </w:pPr>
      <w:r>
        <w:t>Il valore definitivo si blocca solo con il numero definitivo di pagine.</w:t>
      </w:r>
    </w:p>
    <w:p>
      <w:pPr>
        <w:pStyle w:val="ListBullet"/>
      </w:pPr>
      <w:r>
        <w:t>Sotto 6 mm il testo verticale del dorso viene omesso.</w:t>
      </w:r>
    </w:p>
    <w:p>
      <w:pPr>
        <w:pStyle w:val="ListBullet"/>
      </w:pPr>
      <w:r>
        <w:t>Il logo dello strumento viene composto senza ritaglio e non viene ridisegnato dall’AI.</w:t>
      </w:r>
    </w:p>
    <w:p>
      <w:pPr>
        <w:pStyle w:val="ListBullet"/>
      </w:pPr>
      <w:r>
        <w:t>ISBN validato; il barcode non è composto sulla copertina, ma il generatore EAN-13 resta testato e disponibile.</w:t>
      </w:r>
    </w:p>
    <w:p>
      <w:pPr>
        <w:pStyle w:val="Heading1"/>
      </w:pPr>
      <w:r>
        <w:t>9. Pubblicazione e derivazioni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71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Caratteristiche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Markdown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Base portabile e leggibile, coerente con la struttura approvata.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HTML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Conversione tramite Unified/Remark/Rehype e sanitizzazione.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PDF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Composizione con React PDF e stile editoriale controllato.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EPUB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Pacchetto e-book con metadati e navigazione.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Lezione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Derivazione didattica per corso, con anteprima dedicata.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Articolo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Derivazione blog con struttura e metadati dedicati.</w:t>
            </w:r>
          </w:p>
        </w:tc>
      </w:tr>
    </w:tbl>
    <w:p>
      <w:pPr>
        <w:spacing w:after="20"/>
      </w:pPr>
    </w:p>
    <w:p>
      <w:r>
        <w:t>Gli export sono persistiti come record di pubblicazione e serviti dal bucket privato tramite URL firmati. La generazione non equivale alla pubblicazione: il sistema richiede che il gate umano e il preflight siano soddisfatti.</w:t>
      </w:r>
    </w:p>
    <w:p>
      <w:pPr>
        <w:pStyle w:val="Heading1"/>
      </w:pPr>
      <w:r>
        <w:t>10. Modello dati e sicurezza</w:t>
      </w:r>
    </w:p>
    <w:p>
      <w:r>
        <w:t>Lo schema Supabase copre identità e organizzazioni, progetti e fonti, struttura editoriale, agenti e workflow, revisioni, asset visuali, pubblicazioni e collane. Gli enum condividono il vocabolario operativo con il codice TypeScript.</w:t>
      </w:r>
    </w:p>
    <w:p>
      <w:pPr>
        <w:pStyle w:val="Heading2"/>
      </w:pPr>
      <w:r>
        <w:t>Controlli di sicurezza</w:t>
      </w:r>
    </w:p>
    <w:p>
      <w:pPr>
        <w:pStyle w:val="ListBullet"/>
      </w:pPr>
      <w:r>
        <w:t>RLS abilitata e forzata sulle tabelle esposte, inclusa la futura area collane.</w:t>
      </w:r>
    </w:p>
    <w:p>
      <w:pPr>
        <w:pStyle w:val="ListBullet"/>
      </w:pPr>
      <w:r>
        <w:t>Service role esclusivamente server-side e preceduta da verifica esplicita del tenant.</w:t>
      </w:r>
    </w:p>
    <w:p>
      <w:pPr>
        <w:pStyle w:val="ListBullet"/>
      </w:pPr>
      <w:r>
        <w:t>Bucket privati e URL firmati a breve durata per sorgenti, asset ed export.</w:t>
      </w:r>
    </w:p>
    <w:p>
      <w:pPr>
        <w:pStyle w:val="ListBullet"/>
      </w:pPr>
      <w:r>
        <w:t>Sanitizzazione HTML e neutralizzazione XML nei testi inseriti in SVG.</w:t>
      </w:r>
    </w:p>
    <w:p>
      <w:pPr>
        <w:pStyle w:val="ListBullet"/>
      </w:pPr>
      <w:r>
        <w:t>Validazione Zod sugli ingressi e limiti su dimensioni, quantità e struttura degli archivi.</w:t>
      </w:r>
    </w:p>
    <w:p>
      <w:pPr>
        <w:pStyle w:val="ListBullet"/>
      </w:pPr>
      <w:r>
        <w:t>Protezione dai redirect esterni e rinnovo sicuro della sessione via proxy.</w:t>
      </w:r>
    </w:p>
    <w:p>
      <w:pPr>
        <w:pStyle w:val="ListBullet"/>
      </w:pPr>
      <w:r>
        <w:t>Audit trail per azioni privilegiate, workflow, approvazioni e pubblicazioni.</w:t>
      </w:r>
    </w:p>
    <w:p>
      <w:pPr>
        <w:pStyle w:val="Heading2"/>
      </w:pPr>
      <w:r>
        <w:t>Minacce coperte dall’ingestione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Rischio</w:t>
            </w:r>
          </w:p>
        </w:tc>
        <w:tc>
          <w:tcPr>
            <w:tcW w:type="dxa" w:w="67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Difesa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Path traversal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Normalizzazione e guardia dei percorsi prima dell’estrazione.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Zip bomb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Limiti su file, dimensioni compresse/decompresse e volume totale.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File inattesi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Classificazione, whitelist logica e manifest verificato.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Cross-tenant access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RLS e filtri organizzativi lato server.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Asset orfani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Rollback dello storage se il record database non viene creato.</w:t>
            </w:r>
          </w:p>
        </w:tc>
      </w:tr>
    </w:tbl>
    <w:p>
      <w:pPr>
        <w:spacing w:after="20"/>
      </w:pPr>
    </w:p>
    <w:p>
      <w:pPr>
        <w:pStyle w:val="Heading1"/>
      </w:pPr>
      <w:r>
        <w:t>11. Collane editoriali — target Fase 8</w:t>
      </w:r>
    </w:p>
    <w:p>
      <w:r>
        <w:t>La collana è un dominio autonomo. Il legame progetto-volume vive in series_volumes, unica fonte di verità, così da evitare duplicazioni e consentire metadati specifici come numero, ISBN, dipendenze, data prevista e deroghe.</w:t>
      </w:r>
    </w:p>
    <w:p>
      <w:pPr>
        <w:pStyle w:val="Heading2"/>
      </w:pPr>
      <w:r>
        <w:t>Ereditarietà delle regole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Stato</w:t>
            </w:r>
          </w:p>
        </w:tc>
        <w:tc>
          <w:tcPr>
            <w:tcW w:type="dxa" w:w="70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Significato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inherited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Il volume segue la regola di collana e ne riceve gli aggiornamenti.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overridden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Il volume usa una variante locale con motivazione obbligatoria.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locked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La regola è inderogabile; ogni tentativo viene rifiutato.</w:t>
            </w:r>
          </w:p>
        </w:tc>
      </w:tr>
    </w:tbl>
    <w:p>
      <w:pPr>
        <w:spacing w:after="20"/>
      </w:pPr>
    </w:p>
    <w:p>
      <w:r>
        <w:t>Le versioni di stile pubblicate sono immutabili. Una modifica genera proposta, analisi d’impatto, anteprima per volume e approvazione. I volumi già pubblicati non vengono aggiornati automaticamente: l’esito è una proposta di nuova edizione.</w:t>
      </w:r>
    </w:p>
    <w:p>
      <w:pPr>
        <w:pStyle w:val="Heading2"/>
      </w:pPr>
      <w:r>
        <w:t>Fondamenta già presenti</w:t>
      </w:r>
    </w:p>
    <w:p>
      <w:pPr>
        <w:pStyle w:val="ListBullet"/>
      </w:pPr>
      <w:r>
        <w:t>17 tabelle di collana con RLS, indici e vincoli.</w:t>
      </w:r>
    </w:p>
    <w:p>
      <w:pPr>
        <w:pStyle w:val="ListBullet"/>
      </w:pPr>
      <w:r>
        <w:t>Modelli TypeScript e stati del volume.</w:t>
      </w:r>
    </w:p>
    <w:p>
      <w:pPr>
        <w:pStyle w:val="ListBullet"/>
      </w:pPr>
      <w:r>
        <w:t>Risoluzione resolveRule() con rifiuto delle deroghe su regole locked.</w:t>
      </w:r>
    </w:p>
    <w:p>
      <w:pPr>
        <w:pStyle w:val="ListBullet"/>
      </w:pPr>
      <w:r>
        <w:t>Versionamento di linea editoriale, contenuti condivisi e glossario.</w:t>
      </w:r>
    </w:p>
    <w:p>
      <w:pPr>
        <w:pStyle w:val="ListBullet"/>
      </w:pPr>
      <w:r>
        <w:t>Modello per riferimenti incrociati, piani di rilascio e issue di coerenza.</w:t>
      </w:r>
    </w:p>
    <w:p>
      <w:pPr>
        <w:pStyle w:val="Heading2"/>
      </w:pPr>
      <w:r>
        <w:t>Componenti ancora da implementare</w:t>
      </w:r>
    </w:p>
    <w:p>
      <w:pPr>
        <w:pStyle w:val="ListBullet"/>
      </w:pPr>
      <w:r>
        <w:t>Rotte e interfaccia /series.</w:t>
      </w:r>
    </w:p>
    <w:p>
      <w:pPr>
        <w:pStyle w:val="ListBullet"/>
      </w:pPr>
      <w:r>
        <w:t>Sei agenti di collana e relativi contratti.</w:t>
      </w:r>
    </w:p>
    <w:p>
      <w:pPr>
        <w:pStyle w:val="ListBullet"/>
      </w:pPr>
      <w:r>
        <w:t>Workflow multi-volume e gate di impatto.</w:t>
      </w:r>
    </w:p>
    <w:p>
      <w:pPr>
        <w:pStyle w:val="ListBullet"/>
      </w:pPr>
      <w:r>
        <w:t>Vista Scaffale con i dorsi affiancati.</w:t>
      </w:r>
    </w:p>
    <w:p>
      <w:pPr>
        <w:pStyle w:val="ListBullet"/>
      </w:pPr>
      <w:r>
        <w:t>Export di catalogo, style guide, glossario e pacchetto promozionale.</w:t>
      </w:r>
    </w:p>
    <w:p>
      <w:pPr>
        <w:pStyle w:val="Heading1"/>
      </w:pPr>
      <w:r>
        <w:t>12. Qualità, test e osservabilità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70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Copertura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Unit test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Schemi, agenti, routing AI, ingestione, fonti, cover, publishing, derivazioni e utilità.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Database test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Migration reali e RLS su PostgreSQL via PGlite.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Component test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Navigazione, accessibilità e interazioni principali.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E2E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Autenticazione e percorsi protetti con Playwright.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Smoke test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Controlli HTTP contro la build di produzione.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Static quality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ESLint, TypeScript strict, Prettier e validazione ambiente.</w:t>
            </w:r>
          </w:p>
        </w:tc>
      </w:tr>
    </w:tbl>
    <w:p>
      <w:pPr>
        <w:spacing w:after="20"/>
      </w:pPr>
    </w:p>
    <w:p>
      <w:pPr>
        <w:pStyle w:val="Heading2"/>
      </w:pPr>
      <w:r>
        <w:t>Telemetry minima per esecuzione agente</w:t>
      </w:r>
    </w:p>
    <w:p>
      <w:pPr>
        <w:pStyle w:val="ListBullet"/>
      </w:pPr>
      <w:r>
        <w:t>ID di esecuzione e correlazione col workflow.</w:t>
      </w:r>
    </w:p>
    <w:p>
      <w:pPr>
        <w:pStyle w:val="ListBullet"/>
      </w:pPr>
      <w:r>
        <w:t>Agente, versione prompt, provider e modello.</w:t>
      </w:r>
    </w:p>
    <w:p>
      <w:pPr>
        <w:pStyle w:val="ListBullet"/>
      </w:pPr>
      <w:r>
        <w:t>Input/output validati, durata, tentativi, esito e motivo di errore.</w:t>
      </w:r>
    </w:p>
    <w:p>
      <w:pPr>
        <w:pStyle w:val="ListBullet"/>
      </w:pPr>
      <w:r>
        <w:t>Token/costo quando disponibili, senza registrare segreti.</w:t>
      </w:r>
    </w:p>
    <w:p>
      <w:pPr>
        <w:pStyle w:val="ListBullet"/>
      </w:pPr>
      <w:r>
        <w:t>Fonti consultate e decisioni del gate umano.</w:t>
      </w:r>
    </w:p>
    <w:p>
      <w:pPr>
        <w:pStyle w:val="Heading1"/>
      </w:pPr>
      <w:r>
        <w:t>13. Configurazione e deployment</w:t>
      </w:r>
    </w:p>
    <w:p>
      <w:r>
        <w:t>Il deployment target è Vercel con Supabase gestito. Le variabili pubbliche sono separate dai segreti e la validazione è pigra: la build può completarsi senza credenziali, mentre la prima operazione reale restituisce un errore esplicito.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Gruppo</w:t>
            </w:r>
          </w:p>
        </w:tc>
        <w:tc>
          <w:tcPr>
            <w:tcW w:type="dxa" w:w="69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Variabili principali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Applicazione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NEXT_PUBLIC_APP_URL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Supabase pubblico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NEXT_PUBLIC_SUPABASE_URL, NEXT_PUBLIC_SUPABASE_PUBLISHABLE_KEY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Supabase server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SUPABASE_SERVICE_ROLE_KEY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AI testo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AI_TEXT_PROVIDER, AI_TEXT_MODEL, chiave provider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AI immagini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AI_IMAGE_PROVIDER, AI_IMAGE_MODEL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AI ricerca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AI_SEARCH_PROVIDER, AI_SEARCH_MODEL</w:t>
            </w:r>
          </w:p>
        </w:tc>
      </w:tr>
    </w:tbl>
    <w:p>
      <w:pPr>
        <w:spacing w:after="20"/>
      </w:pPr>
    </w:p>
    <w:p>
      <w:pPr>
        <w:pStyle w:val="Heading2"/>
      </w:pPr>
      <w:r>
        <w:t>Runbook essenziale</w:t>
      </w:r>
    </w:p>
    <w:p>
      <w:pPr>
        <w:spacing w:after="60" w:line="269" w:lineRule="auto"/>
        <w:ind w:left="490" w:hanging="317"/>
      </w:pPr>
      <w:r>
        <w:t>1.</w:t>
        <w:tab/>
        <w:t>Installare dipendenze e compilare .env.local da .env.example.</w:t>
      </w:r>
    </w:p>
    <w:p>
      <w:pPr>
        <w:spacing w:after="60" w:line="269" w:lineRule="auto"/>
        <w:ind w:left="490" w:hanging="317"/>
      </w:pPr>
      <w:r>
        <w:t>2.</w:t>
        <w:tab/>
        <w:t>Eseguire check:env senza stampare segreti.</w:t>
      </w:r>
    </w:p>
    <w:p>
      <w:pPr>
        <w:spacing w:after="60" w:line="269" w:lineRule="auto"/>
        <w:ind w:left="490" w:hanging="317"/>
      </w:pPr>
      <w:r>
        <w:t>3.</w:t>
        <w:tab/>
        <w:t>Applicare le migration Supabase e verificare bucket e policy RLS.</w:t>
      </w:r>
    </w:p>
    <w:p>
      <w:pPr>
        <w:spacing w:after="60" w:line="269" w:lineRule="auto"/>
        <w:ind w:left="490" w:hanging="317"/>
      </w:pPr>
      <w:r>
        <w:t>4.</w:t>
        <w:tab/>
        <w:t>Eseguire lint, typecheck, test e build.</w:t>
      </w:r>
    </w:p>
    <w:p>
      <w:pPr>
        <w:spacing w:after="60" w:line="269" w:lineRule="auto"/>
        <w:ind w:left="490" w:hanging="317"/>
      </w:pPr>
      <w:r>
        <w:t>5.</w:t>
        <w:tab/>
        <w:t>Eseguire lo smoke test sulla build di produzione.</w:t>
      </w:r>
    </w:p>
    <w:p>
      <w:pPr>
        <w:spacing w:after="60" w:line="269" w:lineRule="auto"/>
        <w:ind w:left="490" w:hanging="317"/>
      </w:pPr>
      <w:r>
        <w:t>6.</w:t>
        <w:tab/>
        <w:t>Configurare URL applicazione e callback Auth su Supabase e Vercel.</w:t>
      </w:r>
    </w:p>
    <w:p>
      <w:pPr>
        <w:spacing w:after="60" w:line="269" w:lineRule="auto"/>
        <w:ind w:left="490" w:hanging="317"/>
      </w:pPr>
      <w:r>
        <w:t>7.</w:t>
        <w:tab/>
        <w:t>Distribuire soltanto dopo approvazione esplicita; mantenere un piano di rollback.</w:t>
      </w:r>
    </w:p>
    <w:p>
      <w:pPr>
        <w:pStyle w:val="Heading1"/>
      </w:pPr>
      <w:r>
        <w:t>14. Governance operativa degli agenti</w:t>
      </w:r>
    </w:p>
    <w:p>
      <w:pPr>
        <w:pStyle w:val="Heading2"/>
      </w:pPr>
      <w:r>
        <w:t>Matrice RACI sintetica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900"/>
        <w:gridCol w:w="2100"/>
        <w:gridCol w:w="2960"/>
      </w:tblGrid>
      <w:tr>
        <w:tc>
          <w:tcPr>
            <w:tcW w:type="dxa" w:w="24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Attività</w:t>
            </w:r>
          </w:p>
        </w:tc>
        <w:tc>
          <w:tcPr>
            <w:tcW w:type="dxa" w:w="19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21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Editor umano</w:t>
            </w:r>
          </w:p>
        </w:tc>
        <w:tc>
          <w:tcPr>
            <w:tcW w:type="dxa" w:w="29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Sistema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Analizzare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A/C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Supporta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Proporre modifica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Versiona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Accettare/scartare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A/R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Registra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Applicare versione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R, dopo gate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Generare export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Esegue preflight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Pubblicare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A/R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Blocca senza requisiti</w:t>
            </w:r>
          </w:p>
        </w:tc>
      </w:tr>
    </w:tbl>
    <w:p>
      <w:pPr>
        <w:spacing w:after="20"/>
      </w:pPr>
    </w:p>
    <w:p>
      <w:pPr>
        <w:pStyle w:val="Heading2"/>
      </w:pPr>
      <w:r>
        <w:t>Politiche operative</w:t>
      </w:r>
    </w:p>
    <w:p>
      <w:pPr>
        <w:pStyle w:val="ListBullet"/>
      </w:pPr>
      <w:r>
        <w:t>Minimo privilegio: ogni agente riceve soltanto contesto e strumenti necessari.</w:t>
      </w:r>
    </w:p>
    <w:p>
      <w:pPr>
        <w:pStyle w:val="ListBullet"/>
      </w:pPr>
      <w:r>
        <w:t>Fail closed: output non valido o fonte non verificabile non avanza il workflow.</w:t>
      </w:r>
    </w:p>
    <w:p>
      <w:pPr>
        <w:pStyle w:val="ListBullet"/>
      </w:pPr>
      <w:r>
        <w:t>Idempotenza: uno step ripetuto non deve duplicare versioni, asset o pubblicazioni.</w:t>
      </w:r>
    </w:p>
    <w:p>
      <w:pPr>
        <w:pStyle w:val="ListBullet"/>
      </w:pPr>
      <w:r>
        <w:t>Riproducibilità: prompt, modello, seed e dipendenze devono essere rintracciabili.</w:t>
      </w:r>
    </w:p>
    <w:p>
      <w:pPr>
        <w:pStyle w:val="ListBullet"/>
      </w:pPr>
      <w:r>
        <w:t>Budget: limiti per progetto, esecuzione e provider; mock come fallback di sviluppo.</w:t>
      </w:r>
    </w:p>
    <w:p>
      <w:pPr>
        <w:pStyle w:val="ListBullet"/>
      </w:pPr>
      <w:r>
        <w:t>Escalation: conflitti, bassa confidenza e impatto su contenuti pubblicati richiedono revisione umana.</w:t>
      </w:r>
    </w:p>
    <w:p>
      <w:pPr>
        <w:pStyle w:val="Heading1"/>
      </w:pPr>
      <w:r>
        <w:t>15. Roadmap raccomandata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650"/>
        <w:gridCol w:w="4610"/>
      </w:tblGrid>
      <w:tr>
        <w:tc>
          <w:tcPr>
            <w:tcW w:type="dxa" w:w="11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Priorità</w:t>
            </w:r>
          </w:p>
        </w:tc>
        <w:tc>
          <w:tcPr>
            <w:tcW w:type="dxa" w:w="365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Iniziativa</w:t>
            </w:r>
          </w:p>
        </w:tc>
        <w:tc>
          <w:tcPr>
            <w:tcW w:type="dxa" w:w="461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Criterio di uscita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P0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Completare gli 8 agenti capitolo mancanti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Contratti, runner, UI, test e gate coerenti con i 4 esistenti.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P0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Preflight di pubblicazione unificato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Nessun export finale con fonti, versioni o asset non approvati.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P1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Provider visuali reali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Adapter, cost tracking, retry e moderazione, senza cambiare il dominio.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P1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Fase 8: UI e workflow collane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Creazione collana, ereditarietà, impatto, agenti e vista Scaffale.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P1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Osservabilità agentica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Dashboard di esecuzioni, errori, costi, tempi e approvazioni.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Policy di valutazione continua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Dataset di casi, regression test e scorecard per agente.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Disaster recovery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Backup, ripristino verificato e runbook operativo.</w:t>
            </w:r>
          </w:p>
        </w:tc>
      </w:tr>
    </w:tbl>
    <w:p>
      <w:pPr>
        <w:spacing w:after="20"/>
      </w:pPr>
    </w:p>
    <w:p>
      <w:pPr>
        <w:pStyle w:val="Heading1"/>
      </w:pPr>
      <w:r>
        <w:t>16. Criteri di accettazione globali</w:t>
      </w:r>
    </w:p>
    <w:p>
      <w:pPr>
        <w:pStyle w:val="ListBullet"/>
      </w:pPr>
      <w:r>
        <w:t>Un progetto completo attraversa ingestione, audit, revisione, visual, cover e pubblicazione senza modificare l’originale.</w:t>
      </w:r>
    </w:p>
    <w:p>
      <w:pPr>
        <w:pStyle w:val="ListBullet"/>
      </w:pPr>
      <w:r>
        <w:t>Ogni proposta agentica è strutturata, attribuibile, versionata e reversibile.</w:t>
      </w:r>
    </w:p>
    <w:p>
      <w:pPr>
        <w:pStyle w:val="ListBullet"/>
      </w:pPr>
      <w:r>
        <w:t>Ogni passaggio irreversibile o pubblico richiede approvazione umana esplicita.</w:t>
      </w:r>
    </w:p>
    <w:p>
      <w:pPr>
        <w:pStyle w:val="ListBullet"/>
      </w:pPr>
      <w:r>
        <w:t>Fonti e URL sono verificabili; l’assenza di evidenza viene dichiarata.</w:t>
      </w:r>
    </w:p>
    <w:p>
      <w:pPr>
        <w:pStyle w:val="ListBullet"/>
      </w:pPr>
      <w:r>
        <w:t>RLS impedisce accessi fra organizzazioni e nessun segreto raggiunge il client.</w:t>
      </w:r>
    </w:p>
    <w:p>
      <w:pPr>
        <w:pStyle w:val="ListBullet"/>
      </w:pPr>
      <w:r>
        <w:t>Gli output pubblicati includono soltanto contenuti e asset approvati.</w:t>
      </w:r>
    </w:p>
    <w:p>
      <w:pPr>
        <w:pStyle w:val="ListBullet"/>
      </w:pPr>
      <w:r>
        <w:t>Diagrammi tecnici sono deterministici; illustrazioni e copertine sono riproducibili e accessibili.</w:t>
      </w:r>
    </w:p>
    <w:p>
      <w:pPr>
        <w:pStyle w:val="ListBullet"/>
      </w:pPr>
      <w:r>
        <w:t>Lint, typecheck, test database/unit/E2E, build e smoke risultano verdi.</w:t>
      </w:r>
    </w:p>
    <w:p>
      <w:pPr>
        <w:pStyle w:val="ListBullet"/>
      </w:pPr>
      <w:r>
        <w:t>La collana applica regole ereditate, traccia deroghe e protegge i volumi pubblicati.</w:t>
      </w:r>
    </w:p>
    <w:p>
      <w:pPr>
        <w:pStyle w:val="Heading1"/>
      </w:pPr>
      <w:r>
        <w:t>17. Glossario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Termine</w:t>
            </w:r>
          </w:p>
        </w:tc>
        <w:tc>
          <w:tcPr>
            <w:tcW w:type="dxa" w:w="71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Definizione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Agente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Componente specializzato che produce un output strutturato e revisionabile.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Workflow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Processo durevole composto da step, stati, retry e gate.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Gate umano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Punto di sospensione che richiede una decisione esplicita.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Claim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Affermazione tecnica verificabile che dovrebbe avere una fonte.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Versione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Snapshot immutabile collegato al contenuto precedente e alla sua origine.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Asset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Diagramma, immagine, copertina o file pubblicabile con stato e metadati.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Derivazione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Contenuto secondario — articolo o lezione — generato dal materiale approvato.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Preflight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Controllo finale dei prerequisiti di pubblicazione.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RLS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Row Level Security: isolamento dei dati applicato dal database.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Superseded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  <w:vAlign w:val="center"/>
          </w:tcPr>
          <w:p>
            <w:pPr>
              <w:spacing w:after="20"/>
            </w:pPr>
            <w:r>
              <w:rPr>
                <w:sz w:val="18"/>
              </w:rPr>
              <w:t>Stato di una versione sostituita ma conservata nello storico.</w:t>
            </w:r>
          </w:p>
        </w:tc>
      </w:tr>
    </w:tbl>
    <w:p>
      <w:pPr>
        <w:spacing w:after="20"/>
      </w:pPr>
    </w:p>
    <w:p>
      <w:pPr>
        <w:pStyle w:val="Heading1"/>
      </w:pPr>
      <w:r>
        <w:t>18. Fonti interne del documento</w:t>
      </w:r>
    </w:p>
    <w:p>
      <w:r>
        <w:t>Questo documento consolida lo stato rilevato nel repository al 26 agosto 2026. Le fonti principali sono:</w:t>
      </w:r>
    </w:p>
    <w:p>
      <w:pPr>
        <w:pStyle w:val="ListBullet"/>
      </w:pPr>
      <w:r>
        <w:t>README.md</w:t>
      </w:r>
    </w:p>
    <w:p>
      <w:pPr>
        <w:pStyle w:val="ListBullet"/>
      </w:pPr>
      <w:r>
        <w:t>docs/architecture.md</w:t>
      </w:r>
    </w:p>
    <w:p>
      <w:pPr>
        <w:pStyle w:val="ListBullet"/>
      </w:pPr>
      <w:r>
        <w:t>docs/agents.md</w:t>
      </w:r>
    </w:p>
    <w:p>
      <w:pPr>
        <w:pStyle w:val="ListBullet"/>
      </w:pPr>
      <w:r>
        <w:t>docs/workflows.md</w:t>
      </w:r>
    </w:p>
    <w:p>
      <w:pPr>
        <w:pStyle w:val="ListBullet"/>
      </w:pPr>
      <w:r>
        <w:t>docs/database.md</w:t>
      </w:r>
    </w:p>
    <w:p>
      <w:pPr>
        <w:pStyle w:val="ListBullet"/>
      </w:pPr>
      <w:r>
        <w:t>docs/security.md</w:t>
      </w:r>
    </w:p>
    <w:p>
      <w:pPr>
        <w:pStyle w:val="ListBullet"/>
      </w:pPr>
      <w:r>
        <w:t>docs/visual.md</w:t>
      </w:r>
    </w:p>
    <w:p>
      <w:pPr>
        <w:pStyle w:val="ListBullet"/>
      </w:pPr>
      <w:r>
        <w:t>docs/publishing.md</w:t>
      </w:r>
    </w:p>
    <w:p>
      <w:pPr>
        <w:pStyle w:val="ListBullet"/>
      </w:pPr>
      <w:r>
        <w:t>docs/deployment.md</w:t>
      </w:r>
    </w:p>
    <w:p>
      <w:pPr>
        <w:pStyle w:val="ListBullet"/>
      </w:pPr>
      <w:r>
        <w:t>docs/series.md</w:t>
      </w:r>
    </w:p>
    <w:p>
      <w:pPr>
        <w:pStyle w:val="ListBullet"/>
      </w:pPr>
      <w:r>
        <w:t>src/lib/agents/*</w:t>
      </w:r>
    </w:p>
    <w:p>
      <w:pPr>
        <w:pStyle w:val="ListBullet"/>
      </w:pPr>
      <w:r>
        <w:t>src/workflows/*</w:t>
      </w:r>
    </w:p>
    <w:p>
      <w:pPr>
        <w:pStyle w:val="ListBullet"/>
      </w:pPr>
      <w:r>
        <w:t>supabase/migrations/*</w:t>
      </w:r>
    </w:p>
    <w:p>
      <w:pPr>
        <w:pStyle w:val="ListBullet"/>
      </w:pPr>
      <w:r>
        <w:t>tests/*</w:t>
      </w:r>
    </w:p>
    <w:p>
      <w:r>
        <w:t>Nota: le sezioni di roadmap e governance operativa distinguono esplicitamente le capacità già implementate dalle raccomandazioni per il completamento.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86879"/>
        <w:sz w:val="16"/>
      </w:rPr>
      <w:t xml:space="preserve">AI Editorial Factory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86879"/>
        <w:sz w:val="16"/>
      </w:rPr>
      <w:t>AI EDITORIAL FACTORY  /  DOCUMENTO AGENTICO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7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90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90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80"/>
      <w:ind w:left="259" w:right="259"/>
    </w:pPr>
    <w:rPr>
      <w:rFonts w:ascii="Aptos" w:hAnsi="Aptos"/>
      <w:color w:val="0B25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Editorial Factory — Documento agentico di progetto</dc:title>
  <dc:subject>Architettura, agenti, workflow e governance</dc:subject>
  <dc:creator>Daniel Meloni</dc:creator>
  <cp:keywords>AI Editorial Factory, agenti, workflow, editoria, Next.js,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