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57552" w:rsidRDefault="00000000">
      <w:pPr>
        <w:rPr>
          <w:b/>
        </w:rPr>
      </w:pPr>
      <w:r>
        <w:rPr>
          <w:b/>
        </w:rPr>
        <w:t>Política de Seguridad</w:t>
      </w:r>
    </w:p>
    <w:p w14:paraId="00000002" w14:textId="36EA08CC" w:rsidR="00457552" w:rsidRDefault="00000000">
      <w:r>
        <w:t xml:space="preserve">Los principios por los que se rige la seguridad en los sistemas de información de </w:t>
      </w:r>
      <w:r w:rsidR="00223903">
        <w:rPr>
          <w:b/>
        </w:rPr>
        <w:t>NAKAMA&amp;PARTNERS</w:t>
      </w:r>
      <w:r>
        <w:t xml:space="preserve"> son los siguientes:</w:t>
      </w:r>
    </w:p>
    <w:p w14:paraId="00000003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Respeto y cumplimiento exacto de la legislación vigente.</w:t>
      </w:r>
    </w:p>
    <w:p w14:paraId="00000004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Gestión de los riesgos. Que implica el análisis previo, la implantación de medidas a fin de eliminar o, en su caso, minimizarlos, así como la permanente revisión con objeto de mantener actualizada de forma activa dicha gestión.</w:t>
      </w:r>
    </w:p>
    <w:p w14:paraId="00000005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Garantía de confidencialidad en la información, de forma que solo las personas que deban hacer uso de los datos personales estarán autorizados y posibilitados para hacer usos de estos.</w:t>
      </w:r>
    </w:p>
    <w:p w14:paraId="00000006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Garantía de integridad, de forma que los datos sean exactos, precisos y los mínimos necesarios.</w:t>
      </w:r>
    </w:p>
    <w:p w14:paraId="00000007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Garantía de disponibilidad, mediante la puesta en marcha del correspondiente plan de contingencia.</w:t>
      </w:r>
    </w:p>
    <w:p w14:paraId="00000008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Proporcionalidad de las medidas a fin de equilibrar de forma adecuada la seguridad, el riesgo y el normal funcionamiento de la organización.</w:t>
      </w:r>
    </w:p>
    <w:p w14:paraId="00000009" w14:textId="77777777" w:rsidR="004575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Actualización y mejora. Mediante la planificación temporal de las revisiones periódicas del funcionamiento del sistema para su adaptación a las tecnologías y prevención de nuevos </w:t>
      </w:r>
      <w:r>
        <w:t>riesgos</w:t>
      </w:r>
      <w:r>
        <w:rPr>
          <w:color w:val="000000"/>
        </w:rPr>
        <w:t>. Así como la implementación de las mejoras definidas a partir de cualquier incidente que se haya podido producir.</w:t>
      </w:r>
    </w:p>
    <w:p w14:paraId="0000000A" w14:textId="77777777" w:rsidR="00457552" w:rsidRDefault="00000000">
      <w:r>
        <w:t>La responsabilidad de todas las personas que tienen acceso a la información y la necesaria formación a fin de cumplir de forma eficiente y eficaz todas las políticas existentes en la empresa.</w:t>
      </w:r>
    </w:p>
    <w:p w14:paraId="0000000B" w14:textId="4A7B77B3" w:rsidR="00457552" w:rsidRDefault="00223903">
      <w:r>
        <w:rPr>
          <w:b/>
        </w:rPr>
        <w:t>NAKAMA&amp;PARTNERS</w:t>
      </w:r>
      <w:r w:rsidR="00000000">
        <w:t xml:space="preserve"> pone en marcha las medidas de seguridad a fin de evitar cualquier incidencia, si bien hay que tener en cuenta que la garantía absoluta de seguridad en internet no existe. </w:t>
      </w:r>
    </w:p>
    <w:p w14:paraId="0000000C" w14:textId="77777777" w:rsidR="00457552" w:rsidRDefault="00000000">
      <w:r>
        <w:t>El usuario puede y debe tomar ciertas medidas de autoprotección que ayudarán a hacer de este sitio un lugar más seguro. Entre otras:</w:t>
      </w:r>
    </w:p>
    <w:p w14:paraId="0000000D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Utilizar contraseñas fuertes y seguras.</w:t>
      </w:r>
    </w:p>
    <w:p w14:paraId="0000000E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Evitar dar a conocer su usuario y contraseña a terceros.</w:t>
      </w:r>
    </w:p>
    <w:p w14:paraId="0000000F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Mantener su equipo (ordenadores, móviles, tabletas, etc.…) actualizados con la última versión del software.</w:t>
      </w:r>
    </w:p>
    <w:p w14:paraId="00000010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Revisa</w:t>
      </w:r>
      <w:r>
        <w:rPr>
          <w:color w:val="000000"/>
        </w:rPr>
        <w:t xml:space="preserve"> las opciones de configuración del software a fin de evitar que el mismo pueda facilitar tus datos de navegación, usuario, contraseña, etc.</w:t>
      </w:r>
    </w:p>
    <w:p w14:paraId="00000011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Acceder a esta web tecleando directamente la dirección, o bien desde hipervínculos conocidos y de garantías.</w:t>
      </w:r>
    </w:p>
    <w:p w14:paraId="00000012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No facilitar, bajo ningún concepto, cualquier petición de facilitar tus datos personales o de acceso (usuario o contraseña) por correo electrónico o por teléfono.</w:t>
      </w:r>
    </w:p>
    <w:p w14:paraId="00000013" w14:textId="77777777" w:rsidR="0045755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Poner en conocimiento de las autoridades cualquier incidencia anormal de la que puedas haber sido objeto, así como consultar de forma periódica la información que se facilita a través de </w:t>
      </w:r>
      <w:hyperlink r:id="rId6">
        <w:r>
          <w:rPr>
            <w:color w:val="0563C1"/>
            <w:u w:val="single"/>
          </w:rPr>
          <w:t>INCIBE</w:t>
        </w:r>
      </w:hyperlink>
      <w:r>
        <w:rPr>
          <w:color w:val="000000"/>
        </w:rPr>
        <w:t>.</w:t>
      </w:r>
    </w:p>
    <w:p w14:paraId="00000014" w14:textId="77777777" w:rsidR="00457552" w:rsidRDefault="00000000">
      <w:r>
        <w:t>Fecha de actualización 15/10/2024</w:t>
      </w:r>
    </w:p>
    <w:p w14:paraId="00000015" w14:textId="1AFDD43A" w:rsidR="00457552" w:rsidRDefault="00000000">
      <w:r>
        <w:t xml:space="preserve">Para más información puede dirigirse a: </w:t>
      </w:r>
      <w:r w:rsidR="00223903" w:rsidRPr="00223903">
        <w:t>dpo@nakamapartners.com</w:t>
      </w:r>
      <w:r>
        <w:t xml:space="preserve"> </w:t>
      </w:r>
    </w:p>
    <w:p w14:paraId="00000016" w14:textId="4978DC51" w:rsidR="00457552" w:rsidRDefault="00000000">
      <w:r>
        <w:t xml:space="preserve">Copyright </w:t>
      </w:r>
      <w:r w:rsidR="00223903">
        <w:rPr>
          <w:b/>
        </w:rPr>
        <w:t>NAKAMA&amp;PARTNERS</w:t>
      </w:r>
      <w:r>
        <w:t xml:space="preserve"> Todos los derechos reservados.</w:t>
      </w:r>
    </w:p>
    <w:sectPr w:rsidR="00457552">
      <w:pgSz w:w="11906" w:h="16838"/>
      <w:pgMar w:top="993" w:right="99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5F765DE-865F-482C-9A8B-7830A8D9D4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F6C57C2C-A3C8-4C34-8C74-C4D592B809F0}"/>
    <w:embedItalic r:id="rId3" w:fontKey="{6C52415E-8274-4CDF-BF15-3DA274A6D98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EE0C6DB-59A2-4341-A83D-CED85C3090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5E81644-2179-4AF4-AB8B-741F424162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31303E"/>
    <w:multiLevelType w:val="multilevel"/>
    <w:tmpl w:val="E202E6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77D42F1"/>
    <w:multiLevelType w:val="multilevel"/>
    <w:tmpl w:val="936C2F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70752070">
    <w:abstractNumId w:val="1"/>
  </w:num>
  <w:num w:numId="2" w16cid:durableId="1515338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552"/>
    <w:rsid w:val="00223903"/>
    <w:rsid w:val="00457552"/>
    <w:rsid w:val="00A54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1D4E71-A009-4B69-9FE3-ACB3A0EE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n-GB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E30"/>
  </w:style>
  <w:style w:type="paragraph" w:styleId="Heading1">
    <w:name w:val="heading 1"/>
    <w:basedOn w:val="Normal"/>
    <w:next w:val="Normal"/>
    <w:link w:val="Heading1Char"/>
    <w:uiPriority w:val="9"/>
    <w:qFormat/>
    <w:rsid w:val="00672439"/>
    <w:pPr>
      <w:keepNext/>
      <w:keepLines/>
      <w:spacing w:before="240" w:after="0"/>
      <w:jc w:val="left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72439"/>
    <w:rPr>
      <w:rFonts w:ascii="Arial" w:eastAsiaTheme="majorEastAsia" w:hAnsi="Arial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445A0"/>
    <w:pPr>
      <w:ind w:left="720"/>
      <w:contextualSpacing/>
    </w:pPr>
  </w:style>
  <w:style w:type="table" w:styleId="TableGrid">
    <w:name w:val="Table Grid"/>
    <w:basedOn w:val="TableNormal"/>
    <w:uiPriority w:val="39"/>
    <w:rsid w:val="00F71BC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43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42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incibe.e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ErxtX8ViS/TSO75dF8WQjLTnQg==">CgMxLjA4AHIhMXl0bW5TcjcxQXM2bDlXUUZUS1hOYV9EZ3E2VkFYaVZL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Barba</dc:creator>
  <cp:lastModifiedBy>Daniel Montoya</cp:lastModifiedBy>
  <cp:revision>2</cp:revision>
  <dcterms:created xsi:type="dcterms:W3CDTF">2018-10-07T09:15:00Z</dcterms:created>
  <dcterms:modified xsi:type="dcterms:W3CDTF">2025-07-28T10:04:00Z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0x0101005632D05B03DF244F88AF26FD301ABA0E</vt:lpwstr>
  </property>
  <property fmtid="{D5CDD505-2E9C-101B-9397-08002B2CF9AE}" pid="3" name="Order">
    <vt:lpwstr>276500</vt:lpwstr>
  </property>
  <property fmtid="{D5CDD505-2E9C-101B-9397-08002B2CF9AE}" pid="4" name="xd_Signature">
    <vt:lpwstr>false</vt:lpwstr>
  </property>
  <property fmtid="{D5CDD505-2E9C-101B-9397-08002B2CF9AE}" pid="5" name="xd_ProgID">
    <vt:lpwstr>xd_ProgID</vt:lpwstr>
  </property>
  <property fmtid="{D5CDD505-2E9C-101B-9397-08002B2CF9AE}" pid="6" name="ComplianceAssetId">
    <vt:lpwstr>ComplianceAssetId</vt:lpwstr>
  </property>
  <property fmtid="{D5CDD505-2E9C-101B-9397-08002B2CF9AE}" pid="7" name="TemplateUrl">
    <vt:lpwstr>TemplateUrl</vt:lpwstr>
  </property>
  <property fmtid="{D5CDD505-2E9C-101B-9397-08002B2CF9AE}" pid="8" name="_ExtendedDescription">
    <vt:lpwstr>_ExtendedDescription</vt:lpwstr>
  </property>
  <property fmtid="{D5CDD505-2E9C-101B-9397-08002B2CF9AE}" pid="9" name="TriggerFlowInfo">
    <vt:lpwstr>TriggerFlowInfo</vt:lpwstr>
  </property>
  <property fmtid="{D5CDD505-2E9C-101B-9397-08002B2CF9AE}" pid="10" name="MediaServiceImageTags">
    <vt:lpwstr>MediaServiceImageTags</vt:lpwstr>
  </property>
</Properties>
</file>