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0"/>
      </w:pPr>
      <w:r>
        <w:rPr>
          <w:rFonts w:ascii="Aptos Display" w:cs="Aptos Display" w:eastAsia="Aptos Display" w:hAnsi="Aptos Display"/>
          <w:b/>
          <w:bCs/>
          <w:color w:val="1B2A4A"/>
          <w:sz w:val="72"/>
          <w:szCs w:val="72"/>
        </w:rPr>
        <w:t xml:space="preserve">ABBA</w:t>
      </w:r>
    </w:p>
    <w:p>
      <w:pPr>
        <w:spacing w:after="600"/>
      </w:pPr>
      <w:r>
        <w:rPr>
          <w:rFonts w:ascii="Aptos" w:cs="Aptos" w:eastAsia="Aptos" w:hAnsi="Aptos"/>
          <w:color w:val="C2A35B"/>
          <w:sz w:val="24"/>
          <w:szCs w:val="24"/>
        </w:rPr>
        <w:t xml:space="preserve">Consultoria de IA</w:t>
      </w:r>
    </w:p>
    <w:p>
      <w:pPr>
        <w:spacing w:after="100"/>
      </w:pPr>
      <w:r>
        <w:rPr>
          <w:rFonts w:ascii="Aptos Display" w:cs="Aptos Display" w:eastAsia="Aptos Display" w:hAnsi="Aptos Display"/>
          <w:b/>
          <w:bCs/>
          <w:color w:val="1B2A4A"/>
          <w:sz w:val="44"/>
          <w:szCs w:val="44"/>
        </w:rPr>
        <w:t xml:space="preserve">Proposta de Continuidade</w:t>
      </w:r>
    </w:p>
    <w:p>
      <w:pPr>
        <w:spacing w:after="420"/>
      </w:pPr>
      <w:r>
        <w:rPr>
          <w:rFonts w:ascii="Aptos" w:cs="Aptos" w:eastAsia="Aptos" w:hAnsi="Aptos"/>
          <w:color w:val="5A6472"/>
          <w:sz w:val="26"/>
          <w:szCs w:val="26"/>
        </w:rPr>
        <w:t xml:space="preserve">O próximo ciclo da parceria — Manutenção ABBA em 3 camadas</w:t>
      </w:r>
    </w:p>
    <w:p>
      <w:pPr>
        <w:spacing w:after="6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Preparado para: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5A6472"/>
          <w:sz w:val="22"/>
          <w:szCs w:val="22"/>
        </w:rPr>
        <w:t xml:space="preserve">{{NOME_CONTATO}}, {{CARGO}} — {{NOME_DA_EMPRESA}}</w:t>
      </w:r>
    </w:p>
    <w:p>
      <w:pPr>
        <w:spacing w:after="6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Data: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5A6472"/>
          <w:sz w:val="22"/>
          <w:szCs w:val="22"/>
        </w:rPr>
        <w:t xml:space="preserve">{{DATA}}   |   Válida até: {{DATA_MAIS_30}}   |   Ref: ABBA-{{ANO}}-{{NUM}}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1.  O que os seus números dizem</w:t>
      </w:r>
    </w:p>
    <w:p>
      <w:pPr>
        <w:spacing w:after="14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{{2–4 linhas com o uso real do período: horas de evolução consumidas/mês, incidentes e SLA cumprido, adoção da plataforma, decisões tomadas no ritual do conselho.}}</w:t>
      </w:r>
    </w:p>
    <w:p>
      <w:pPr>
        <w:spacing w:after="14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5A6472"/>
          <w:sz w:val="22"/>
          <w:szCs w:val="22"/>
        </w:rPr>
        <w:t xml:space="preserve">Pela sua operação, a camada recomendada é a </w:t>
      </w: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{{CAMADA_RECOMENDADA}}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5A6472"/>
          <w:sz w:val="22"/>
          <w:szCs w:val="22"/>
        </w:rPr>
        <w:t xml:space="preserve"> — o porquê: {{1–2 linhas}}.</w:t>
      </w:r>
    </w:p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2.  As 3 camadas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1650"/>
        <w:gridCol w:w="1650"/>
        <w:gridCol w:w="1750"/>
      </w:tblGrid>
      <w:tr>
        <w:trPr>
          <w:tblHeader/>
        </w:trPr>
        <w:tc>
          <w:tcPr>
            <w:tcW w:type="dxa" w:w="430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O que está incluído</w:t>
            </w:r>
          </w:p>
        </w:tc>
        <w:tc>
          <w:tcPr>
            <w:tcW w:type="dxa" w:w="165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Operação</w:t>
            </w:r>
          </w:p>
        </w:tc>
        <w:tc>
          <w:tcPr>
            <w:tcW w:type="dxa" w:w="165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Evolução</w:t>
            </w:r>
          </w:p>
        </w:tc>
        <w:tc>
          <w:tcPr>
            <w:tcW w:type="dxa" w:w="175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Estratégia</w:t>
            </w:r>
          </w:p>
        </w:tc>
      </w:tr>
      <w:tr>
        <w:tc>
          <w:tcPr>
            <w:tcW w:type="dxa" w:w="43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Monitoramento automatizado 24/7 + SLA S1–S3 + relatório mensal</w:t>
            </w:r>
          </w:p>
        </w:tc>
        <w:tc>
          <w:tcPr>
            <w:tcW w:type="dxa" w:w="165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✓</w:t>
            </w:r>
          </w:p>
        </w:tc>
        <w:tc>
          <w:tcPr>
            <w:tcW w:type="dxa" w:w="165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✓</w:t>
            </w:r>
          </w:p>
        </w:tc>
        <w:tc>
          <w:tcPr>
            <w:tcW w:type="dxa" w:w="175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30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Horas de evolução nos agentes ({{HORAS_MES}}h/mês)</w:t>
            </w:r>
          </w:p>
        </w:tc>
        <w:tc>
          <w:tcPr>
            <w:tcW w:type="dxa" w:w="165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  <w:tc>
          <w:tcPr>
            <w:tcW w:type="dxa" w:w="165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✓</w:t>
            </w:r>
          </w:p>
        </w:tc>
        <w:tc>
          <w:tcPr>
            <w:tcW w:type="dxa" w:w="175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3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Plataforma de capacitação ativa (novos colaboradores onboardados)</w:t>
            </w:r>
          </w:p>
        </w:tc>
        <w:tc>
          <w:tcPr>
            <w:tcW w:type="dxa" w:w="165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  <w:tc>
          <w:tcPr>
            <w:tcW w:type="dxa" w:w="165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✓</w:t>
            </w:r>
          </w:p>
        </w:tc>
        <w:tc>
          <w:tcPr>
            <w:tcW w:type="dxa" w:w="175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30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Conselheiro de IA trimestral (presença na diretoria, roadmap vivo, arbitragem de fornecedores)</w:t>
            </w:r>
          </w:p>
        </w:tc>
        <w:tc>
          <w:tcPr>
            <w:tcW w:type="dxa" w:w="165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  <w:tc>
          <w:tcPr>
            <w:tcW w:type="dxa" w:w="165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—</w:t>
            </w:r>
          </w:p>
        </w:tc>
        <w:tc>
          <w:tcPr>
            <w:tcW w:type="dxa" w:w="175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3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Investimento mensal</w:t>
            </w:r>
          </w:p>
        </w:tc>
        <w:tc>
          <w:tcPr>
            <w:tcW w:type="dxa" w:w="165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{{VALOR_OPERACAO}}</w:t>
            </w:r>
          </w:p>
        </w:tc>
        <w:tc>
          <w:tcPr>
            <w:tcW w:type="dxa" w:w="165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{{VALOR_EVOLUCAO}}</w:t>
            </w:r>
          </w:p>
        </w:tc>
        <w:tc>
          <w:tcPr>
            <w:tcW w:type="dxa" w:w="175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{{VALOR_ESTRATEGIA}}</w:t>
            </w:r>
          </w:p>
        </w:tc>
      </w:tr>
    </w:tbl>
    <w:p>
      <w:pPr>
        <w:spacing w:after="14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Severidades e tempos de resposta idênticos nas três camadas — o que muda é evolução e presença estratégica, nunca a segurança.</w:t>
      </w:r>
    </w:p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3.  Regras claras (sem letra miúda)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Upgrade a qualquer momento, com aprovação por escrito — pró-rata no ciclo corrente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Downgrade no aniversário da renovação, com aviso de 30 dias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Horas de evolução não cumulativas; avisamos quando o consumo passar de 80% — nunca fatura-surpresa; excedente vira mini-ciclo cotado à parte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Reajuste anual IPCA · vigência 12 meses com renovação automática salvo aviso de 30 dias</w:t>
      </w:r>
    </w:p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4.  Próximo passo</w:t>
      </w:r>
    </w:p>
    <w:p>
      <w:pPr>
        <w:spacing w:after="14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Confirmando a camada, emitimos o aditivo em até 2 dias úteis e o novo ciclo começa em {{DATA_INICIO}} — sem interrupção de monitoramento ou suporte.</w:t>
      </w:r>
    </w:p>
    <w:p>
      <w:pPr>
        <w:spacing w:after="200" w:befor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Assinaturas:</w:t>
      </w:r>
    </w:p>
    <w:p>
      <w:pPr>
        <w:spacing w:after="20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_______________________________   {{SIGNATÁRIO}} — {{NOME_DA_EMPRESA}} · Data:</w:t>
      </w:r>
    </w:p>
    <w:p>
      <w:pPr>
        <w:spacing w:after="14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_______________________________   ABBA Consultoria de IA · Data:</w:t>
      </w:r>
    </w:p>
    <w:sectPr>
      <w:headerReference w:type="default" r:id="rId7"/>
      <w:footerReference w:type="default" r:id="rId8"/>
      <w:pgSz w:w="11906" w:h="16838" w:orient="portrait"/>
      <w:pgMar w:top="1250" w:right="1250" w:bottom="11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50"/>
      </w:tabs>
    </w:pPr>
    <w:r>
      <w:rPr>
        <w:rFonts w:ascii="Aptos" w:cs="Aptos" w:eastAsia="Aptos" w:hAnsi="Aptos"/>
        <w:color w:val="5A6472"/>
        <w:sz w:val="18"/>
        <w:szCs w:val="18"/>
      </w:rPr>
      <w:t xml:space="preserve">ABBA · Consultoria de IA</w:t>
    </w:r>
    <w:r>
      <w:rPr>
        <w:rFonts w:ascii="Aptos" w:cs="Aptos" w:eastAsia="Aptos" w:hAnsi="Aptos"/>
        <w:color w:val="C2A35B"/>
        <w:sz w:val="18"/>
        <w:szCs w:val="18"/>
      </w:rPr>
      <w:t xml:space="preserve">	abbaservices.com.br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color w:val="5A6472"/>
        <w:sz w:val="18"/>
        <w:szCs w:val="18"/>
      </w:rPr>
      <w:t xml:space="preserve">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2026-07-26T23:58:00.202Z</dcterms:created>
  <dcterms:modified xsi:type="dcterms:W3CDTF">2026-07-26T23:58:00.202Z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