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</w:pPr>
      <w:r>
        <w:rPr>
          <w:rFonts w:ascii="Cambria" w:cs="Cambria" w:eastAsia="Cambria" w:hAnsi="Cambria"/>
          <w:b/>
          <w:bCs/>
          <w:color w:val="1B2A4A"/>
          <w:spacing w:val="80"/>
          <w:sz w:val="52"/>
          <w:szCs w:val="52"/>
        </w:rPr>
        <w:t xml:space="preserve">ABBA</w:t>
      </w:r>
    </w:p>
    <w:p>
      <w:pPr>
        <w:spacing w:after="1200"/>
      </w:pPr>
      <w:r>
        <w:rPr>
          <w:rFonts w:ascii="Calibri" w:cs="Calibri" w:eastAsia="Calibri" w:hAnsi="Calibri"/>
          <w:b/>
          <w:bCs/>
          <w:color w:val="C2A35B"/>
          <w:spacing w:val="50"/>
          <w:sz w:val="17"/>
          <w:szCs w:val="17"/>
        </w:rPr>
        <w:t xml:space="preserve">CONSULTORIA DE INTELIGÊNCIA ARTIFICIAL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B2A4A"/>
          <w:sz w:val="56"/>
          <w:szCs w:val="56"/>
        </w:rPr>
        <w:t xml:space="preserve">Termo do Programa</w:t>
      </w:r>
    </w:p>
    <w:p>
      <w:pPr>
        <w:spacing w:after="1600"/>
      </w:pPr>
      <w:r>
        <w:rPr>
          <w:rFonts w:ascii="Cambria" w:cs="Cambria" w:eastAsia="Cambria" w:hAnsi="Cambria"/>
          <w:i/>
          <w:iCs/>
          <w:color w:val="6E6858"/>
          <w:sz w:val="32"/>
          <w:szCs w:val="32"/>
        </w:rPr>
        <w:t xml:space="preserve">AI Native · Ano 1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94A"/>
          <w:sz w:val="24"/>
          <w:szCs w:val="24"/>
        </w:rPr>
        <w:t xml:space="preserve">Preparado para: {{NOME_DO_CLIENTE}}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858"/>
          <w:sz w:val="21"/>
          <w:szCs w:val="21"/>
        </w:rPr>
        <w:t xml:space="preserve">{{MÊS ANO}}   ·   Ref: ABBA-{{ANO}}-{{NUM}}   ·   Validade: 15 dias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858"/>
          <w:sz w:val="18"/>
          <w:szCs w:val="18"/>
        </w:rPr>
        <w:t xml:space="preserve">Confidencial. Este documento integra-se ao Contrato de Prestação de Serviços da ABBA e a seus Anexos.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1.  Sumário Executivo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A ABBA propõe ao {{NOME_DO_CLIENTE}} o Programa "AI Native · Ano 1": doze meses, três fases, três portas de saída. A decisão do ano é tomada uma única vez, neste Termo; o risco, nunca: apenas a fase 1 é firme na assinatura, e as fases 2 e 3 já entram precificadas como uma opção sua, exercível no Portão da Prova, ao fim da sexta semana.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Em seis semanas, a fase 1 entrega um caso construído com os seus dados reais, rodando e medido contra a métrica combinada por escrito na primeira semana, além do retrato completo de oportunidades da empresa, ranqueado e quantificado. Com esse resultado na mesa, a sua diretoria decide, com números, se o ano continua.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Diferentemente de consultorias que entregam relatórios, a ABBA entrega sistemas funcionando e pessoas capacitadas, e prova, como terceiro, o que mudou: número combinado antes, medido depois, assinado por uma pessoa nomeada da sua empresa.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C2A35B"/>
          <w:spacing w:val="40"/>
          <w:sz w:val="17"/>
          <w:szCs w:val="17"/>
        </w:rPr>
        <w:t xml:space="preserve">O PROGRAMA EM UMA LINHA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1 ano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3 fases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3 portas de saída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1 decisão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E6858"/>
                <w:sz w:val="18"/>
                <w:szCs w:val="18"/>
              </w:rPr>
              <w:t xml:space="preserve">do Termo ao Exame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E6858"/>
                <w:sz w:val="18"/>
                <w:szCs w:val="18"/>
              </w:rPr>
              <w:t xml:space="preserve">Prova · Construção · Durabilidade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E6858"/>
                <w:sz w:val="18"/>
                <w:szCs w:val="18"/>
              </w:rPr>
              <w:t xml:space="preserve">semana 6 · mês 6 · mês 12, sem multa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E6858"/>
                <w:sz w:val="18"/>
                <w:szCs w:val="18"/>
              </w:rPr>
              <w:t xml:space="preserve">fase 1 firme; fases 2 e 3 são opção sua</w:t>
            </w:r>
          </w:p>
        </w:tc>
      </w:tr>
    </w:tbl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2.  O que ouvimos de vocês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858"/>
          <w:sz w:val="21"/>
          <w:szCs w:val="21"/>
        </w:rPr>
        <w:t xml:space="preserve">{{ACHADO_1: citação ou constatação da conversa/Mapa de Vazamento}}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858"/>
          <w:sz w:val="21"/>
          <w:szCs w:val="21"/>
        </w:rPr>
        <w:t xml:space="preserve">{{ACHADO_2}}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858"/>
          <w:sz w:val="21"/>
          <w:szCs w:val="21"/>
        </w:rPr>
        <w:t xml:space="preserve">{{ACHADO_3}}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Mapa de Vazamento entregue em {{DATA_DO_MAPA}} estimou {{FAIXA_ESTIMADA_EM_R$}} por mês em valor preso na operação. Este Termo existe para transformar essa estimativa em resultado medido, começando pelo caso de maior retorno.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3.  O caminho: três fases, três portões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Cada fase entrega algo inteiro sozinha e produz o insumo da próxima. Nenhuma fase se inicia sem que a anterior tenha comprovado o seu resultado.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C2A35B"/>
          <w:sz w:val="24"/>
          <w:szCs w:val="24"/>
        </w:rPr>
        <w:t xml:space="preserve">3.1  Fase 1 · A Prova (semanas 1 a 6) · firme na assinatura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QUÊ: o mergulho diagnóstico focado (processos, dados, pessoas e governança, do conselho à linha de frente) e a construção do caso escolhido, {{CASO_DA_FASE_1}}, com os seus dados reais, posto em uso e medido.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A MEDIÇÃO: a métrica de sucesso é combinada por escrito na primeira semana, com a métrica proxy definida, e assinada por {{PATROCINADOR, cargo}}. Ao fim da semana 6, o relatório apresenta projetado versus realizado.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QUE FICA: o caso rodando, o relatório de medição, o relatório de maturidade e o portfólio completo de oportunidades, ranqueado por retorno e esforço. O portfólio é seu integralmente, independente da decisão no Portão: o portão retém execução, nunca informação.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C2A35B"/>
          <w:sz w:val="24"/>
          <w:szCs w:val="24"/>
        </w:rPr>
        <w:t xml:space="preserve">3.2  O Portão da Prova (semana 6)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Ao término da fase 1, a decisão de continuar é integralmente sua. Se o resultado medido não confirmar o critério combinado, ou se a decisão for simplesmente não seguir, o Programa se encerra ali: sem multa, sem renegociação, e com todos os entregáveis da fase em suas mãos. Exercida a opção, as fases 2 e 3 iniciam nas condições já fixadas na seção 4.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C2A35B"/>
          <w:sz w:val="24"/>
          <w:szCs w:val="24"/>
        </w:rPr>
        <w:t xml:space="preserve">3.3  Fase 2 · A Construção (meses 2 a 6)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QUÊ: os casos aprovados do portfólio entram em produção. Projetamos a arquitetura (dados, integrações e lógica de decisão) e construímos sistemas sob medida, com agentes de IA e pontos de aprovação humana desenhados em tudo que é crítico: a IA executa, gente da sua confiança valida.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EM PARALELO: a capacitação de todos os níveis, na plataforma própria da ABBA e em sessões presenciais, com fluência medida em 30, 60 e 90 dias e campeões internos formados. Sistemas e pessoas se transformam ao mesmo tempo, por desenho.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ENTREGÁVEL NOMEADO EM TODOS OS MESES: cada mês do Programa tem um entregável definido no plano de fase, com critério de aceite. O Portão 2, no mês 6, é a revisão formal com a diretoria, com saída mediante aviso, sem multa.</w:t>
      </w:r>
    </w:p>
    <w:p>
      <w:pPr>
        <w:pStyle w:val="Heading2"/>
        <w:spacing w:after="140" w:before="240"/>
      </w:pPr>
      <w:r>
        <w:rPr>
          <w:rFonts w:ascii="Cambria" w:cs="Cambria" w:eastAsia="Cambria" w:hAnsi="Cambria"/>
          <w:b/>
          <w:bCs/>
          <w:color w:val="C2A35B"/>
          <w:sz w:val="24"/>
          <w:szCs w:val="24"/>
        </w:rPr>
        <w:t xml:space="preserve">3.4  Fase 3 · A Durabilidade (meses 7 a 12)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QUÊ: operamos o que construímos, com presença decrescente de propósito: monitoramento, evolução contínua, ritual semanal de 20 minutos com quem decide e relatório mensal de projetado versus realizado. Toda decisão entra num diário: métrica combinada antes, resultado medido depois.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NO MÊS 12: a diretoria recebe a série do ano inteiro (o que foi prometido, o que foi medido, o que ficou instalado e quem, da sua equipe, opera cada peça) e decide, no terceiro portão, sobre a continuidade pela Assinatura da Capacidade (seção 5).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4.  O investimento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porte do Programa é determinado pela calculadora de porte da ABBA (anexa a este Termo), preenchida com o que a descoberta revelou. Para o {{NOME_DO_CLIENTE}}, o porte apurado é {{PORTE}} ({{PONTUAÇÃO}} pontos).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A35B"/>
                <w:sz w:val="18"/>
                <w:szCs w:val="18"/>
              </w:rPr>
              <w:t xml:space="preserve">Estrutura</w:t>
            </w:r>
          </w:p>
        </w:tc>
        <w:tc>
          <w:tcPr>
            <w:tcW w:type="pct" w:w="36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A35B"/>
                <w:sz w:val="18"/>
                <w:szCs w:val="18"/>
              </w:rPr>
              <w:t xml:space="preserve">Pagamento</w:t>
            </w:r>
          </w:p>
        </w:tc>
        <w:tc>
          <w:tcPr>
            <w:tcW w:type="pct" w:w="30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A35B"/>
                <w:sz w:val="18"/>
                <w:szCs w:val="18"/>
              </w:rPr>
              <w:t xml:space="preserve">Total do ano 1</w:t>
            </w:r>
          </w:p>
        </w:tc>
      </w:tr>
      <w:tr>
        <w:tc>
          <w:tcPr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Fase 1 · A Prova</w:t>
            </w:r>
          </w:p>
        </w:tc>
        <w:tc>
          <w:tcPr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R$ 26.000, na assinatura deste Termo</w:t>
            </w:r>
          </w:p>
        </w:tc>
        <w:tc>
          <w:tcPr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E6858"/>
                <w:sz w:val="20"/>
                <w:szCs w:val="20"/>
              </w:rPr>
              <w:t xml:space="preserve">firme</w:t>
            </w:r>
          </w:p>
        </w:tc>
      </w:tr>
      <w:tr>
        <w:tc>
          <w:tcPr>
            <w:tcW w:type="pct" w:w="34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Porte P (0 a 4 pontos)</w:t>
            </w:r>
          </w:p>
        </w:tc>
        <w:tc>
          <w:tcPr>
            <w:tcW w:type="pct" w:w="36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R$ 26.000 + 4 × R$ 48.000</w:t>
            </w:r>
          </w:p>
        </w:tc>
        <w:tc>
          <w:tcPr>
            <w:tcW w:type="pct" w:w="30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R$ 218.000 no ano</w:t>
            </w:r>
          </w:p>
        </w:tc>
      </w:tr>
      <w:tr>
        <w:tc>
          <w:tcPr>
            <w:tcW w:type="pct" w:w="34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Porte M (5 a 9 pontos)</w:t>
            </w:r>
          </w:p>
        </w:tc>
        <w:tc>
          <w:tcPr>
            <w:tcW w:type="pct" w:w="36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R$ 26.000 + 4 × R$ 63.000</w:t>
            </w:r>
          </w:p>
        </w:tc>
        <w:tc>
          <w:tcPr>
            <w:tcW w:type="pct" w:w="30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R$ 278.000 no ano</w:t>
            </w:r>
          </w:p>
        </w:tc>
      </w:tr>
      <w:tr>
        <w:tc>
          <w:tcPr>
            <w:tcW w:type="pct" w:w="34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Porte G (10 a 14 pontos)</w:t>
            </w:r>
          </w:p>
        </w:tc>
        <w:tc>
          <w:tcPr>
            <w:tcW w:type="pct" w:w="36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R$ 26.000 + 4 × R$ 88.000</w:t>
            </w:r>
          </w:p>
        </w:tc>
        <w:tc>
          <w:tcPr>
            <w:tcW w:type="pct" w:w="30%"/>
            <w:tcBorders>
              <w:top w:val="single" w:color="E5E0D4" w:sz="4"/>
              <w:left w:val="none"/>
              <w:bottom w:val="single" w:color="E5E0D4" w:sz="4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R$ 378.000 no ano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858"/>
          <w:sz w:val="21"/>
          <w:szCs w:val="21"/>
        </w:rPr>
        <w:t xml:space="preserve">Os trimestres das fases 2 e 3 são pagos antecipadamente, no início de cada trimestre. Pagamento mensal disponível com acréscimo de 8% sobre o equivalente. Reajuste anual pelo IPCA. Condições charter, quando aplicáveis, constam do Anexo III do Contrato.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94A"/>
          <w:sz w:val="21"/>
          <w:szCs w:val="21"/>
        </w:rPr>
        <w:t xml:space="preserve">Não exercida a opção no Portão da Prova, nada além da fase 1 é devido.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5.  Depois do primeiro ano: a Assinatura da Capacidade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Do segundo ano em diante, a relação passa a ser medida anualmente: operação sob SLA, ritual semanal, conselho trimestral e o Exame Anual de IA, a re-medição completa da maturidade da empresa, comparada ano contra ano. Valor mensal por porte: R$ 11.000 (P) · R$ 15.000 (M) · R$ 21.000 (G), com renovação automática a partir do ano 2 e aviso de saída de 60 dias. Casos de uso novos entram como mini-ciclos de R$ 42.000 dentro da assinatura. Condições completas no Anexo I-B do Contrato.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3394A"/>
          <w:sz w:val="21"/>
          <w:szCs w:val="21"/>
        </w:rPr>
        <w:t xml:space="preserve">A saída é limpa em qualquer aniversário: tudo o que construímos é seu, o dado é exportável, e a transição é assistida por 30 dias.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6.  Como trabalhamos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Prova, não impressão: toda decisão entra num diário com a métrica combinada antes e o resultado medido depois, e vocês veem o registro inteiro, incluindo o que não funcionou. A IA rascunha, um humano assina, a diretoria decide. Recomendamos com convicção; quem decide são vocês.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O que recusamos, por método: prometer acurácia que não medimos; prever o imprevisível; piloto sem métrica; IA decidindo sozinha. Honestidade sobre escopo: o que fazemos está nomeado neste Termo, e o que fica de fora, também.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7.  Condições gerais e aceite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Este Termo integra o Contrato de Prestação de Serviços da ABBA, que rege confidencialidade, proteção de dados (LGPD), propriedade intelectual, suboperadores (Anexo II), contribuição anonimizada (Anexo IV) e demais condições. Em caso de conflito, prevalece o disposto neste Termo quanto a escopo, preço e portões.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Vigência: 12 meses a partir da assinatura. Validade desta proposta: 15 dias. Foro: {{CIDADE/UF}}.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/>
      </w:r>
    </w:p>
    <w:p>
      <w:pPr>
        <w:spacing w:after="4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94A"/>
          <w:sz w:val="21"/>
          <w:szCs w:val="21"/>
        </w:rPr>
        <w:t xml:space="preserve">{{CIDADE}}, {{DATA}}.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94A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ABBA · {{REPRESENTANTE_ABBA}}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94A"/>
                <w:sz w:val="20"/>
                <w:szCs w:val="20"/>
              </w:rPr>
              <w:t xml:space="preserve">{{NOME_DO_CLIENTE}} · {{REPRESENTANTE_CLIENTE}}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58"/>
        <w:sz w:val="14"/>
        <w:szCs w:val="14"/>
      </w:rPr>
      <w:t xml:space="preserve">contato@abbaservices.com.br · 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E6858"/>
        <w:spacing w:val="30"/>
        <w:sz w:val="14"/>
        <w:szCs w:val="14"/>
      </w:rPr>
      <w:t xml:space="preserve">ABBA · CONSULTORIA DE INTELIGÊNCIA ARTIFICIAL</w:t>
    </w:r>
    <w:r>
      <w:rPr>
        <w:rFonts w:ascii="Calibri" w:cs="Calibri" w:eastAsia="Calibri" w:hAnsi="Calibri"/>
        <w:color w:val="6E6858"/>
        <w:spacing w:val="30"/>
        <w:sz w:val="14"/>
        <w:szCs w:val="14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9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do Programa · AI Native · Ano 1</dc:title>
  <dc:creator>ABBA Consultoria de IA</dc:creator>
  <cp:lastModifiedBy>Un-named</cp:lastModifiedBy>
  <cp:revision>1</cp:revision>
  <dcterms:created xsi:type="dcterms:W3CDTF">2026-09-02T13:46:05.945Z</dcterms:created>
  <dcterms:modified xsi:type="dcterms:W3CDTF">2026-09-02T13:46:05.945Z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