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</w:pPr>
      <w:r>
        <w:rPr>
          <w:rFonts w:ascii="Aptos Display" w:cs="Aptos Display" w:eastAsia="Aptos Display" w:hAnsi="Aptos Display"/>
          <w:b/>
          <w:bCs/>
          <w:color w:val="1B2A4A"/>
          <w:sz w:val="64"/>
          <w:szCs w:val="64"/>
        </w:rPr>
        <w:t xml:space="preserve">ABBA</w:t>
      </w:r>
    </w:p>
    <w:p>
      <w:pPr>
        <w:spacing w:after="400"/>
      </w:pPr>
      <w:r>
        <w:rPr>
          <w:rFonts w:ascii="Aptos" w:cs="Aptos" w:eastAsia="Aptos" w:hAnsi="Aptos"/>
          <w:color w:val="C2A35B"/>
          <w:sz w:val="22"/>
          <w:szCs w:val="22"/>
        </w:rPr>
        <w:t xml:space="preserve">Consultoria de IA</w:t>
      </w:r>
    </w:p>
    <w:p>
      <w:pPr>
        <w:spacing w:after="80"/>
      </w:pPr>
      <w:r>
        <w:rPr>
          <w:rFonts w:ascii="Aptos Display" w:cs="Aptos Display" w:eastAsia="Aptos Display" w:hAnsi="Aptos Display"/>
          <w:b/>
          <w:bCs/>
          <w:color w:val="1B2A4A"/>
          <w:sz w:val="40"/>
          <w:szCs w:val="40"/>
        </w:rPr>
        <w:t xml:space="preserve">Conselheiro de IA ABBA</w:t>
      </w:r>
    </w:p>
    <w:p>
      <w:pPr>
        <w:spacing w:after="300"/>
      </w:pPr>
      <w:r>
        <w:rPr>
          <w:rFonts w:ascii="Aptos" w:cs="Aptos" w:eastAsia="Aptos" w:hAnsi="Aptos"/>
          <w:color w:val="5A6472"/>
          <w:sz w:val="24"/>
          <w:szCs w:val="24"/>
        </w:rPr>
        <w:t xml:space="preserve">A cadeira de estrategista de IA da sua empresa — sem o custo de um executivo full-time</w:t>
      </w:r>
    </w:p>
    <w:p>
      <w:pPr>
        <w:spacing w:after="80" w:before="0"/>
      </w:pPr>
      <w:r>
        <w:rPr>
          <w:rFonts w:ascii="Aptos" w:cs="Aptos" w:eastAsia="Aptos" w:hAnsi="Aptos"/>
          <w:b w:val="false"/>
          <w:bCs w:val="false"/>
          <w:i/>
          <w:iCs/>
          <w:color w:val="5A6472"/>
          <w:sz w:val="22"/>
          <w:szCs w:val="22"/>
        </w:rPr>
        <w:t xml:space="preserve">“Cada fornecedor de IA que batia na porta virava uma reunião perdida e uma dúvida. Hoje temos um conselheiro que já conhece nossa operação, senta no nosso conselho a cada trimestre, corta o ruído dos vendedores e nos diz com convicção o que fazer — e o que NÃO fazer.”</w:t>
      </w:r>
    </w:p>
    <w:p>
      <w:pPr>
        <w:spacing w:after="2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C2A35B"/>
          <w:sz w:val="22"/>
          <w:szCs w:val="22"/>
        </w:rPr>
        <w:t xml:space="preserve">— o depoimento que trabalhamos para merecer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O que você contrata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Presença estruturada na reunião de diretoria: resultados contra os objetivos que VOCÊS declararam, recomendações priorizadas (máx. 3), decisões registradas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Roadmap vivo de IA — revisado a cada ciclo, realinhado à visão da diretoria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Arbitragem independente de fornecedores: “isso é real? é para nós? qual o preço justo?” — por escrito, sem conflito de interesse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Governança e LGPD de IA vigiadas continuamente: novos usos, novos riscos, adequação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Antena de oportunidades: padrões anonimizados de todos os nossos engajamentos chegam a você antes do mercado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O que NÃO é (honestidade de saída)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é banco de horas nem suporte técnico — execução vira projeto cotado à parte; suporte é o contrato de Manutenção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é parecer jurídico nem representação perante a ANPD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é terceirização da decisão: nós recomendamos com convicção; a decisão é sempre sua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Formatos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2550"/>
      </w:tblGrid>
      <w:tr>
        <w:trPr>
          <w:tblHeader/>
        </w:trPr>
        <w:tc>
          <w:tcPr>
            <w:tcW w:type="dxa" w:w="2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Cadência</w:t>
            </w:r>
          </w:p>
        </w:tc>
        <w:tc>
          <w:tcPr>
            <w:tcW w:type="dxa" w:w="25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Conselheiro Trimestral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Ritual trimestral + até 2 arbitragens/trimestre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{{VALOR_TRIMESTRAL}}/mês</w:t>
            </w:r>
          </w:p>
        </w:tc>
      </w:tr>
      <w:tr>
        <w:tc>
          <w:tcPr>
            <w:tcW w:type="dxa" w:w="2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Conselheiro Mensal</w:t>
            </w:r>
          </w:p>
        </w:tc>
        <w:tc>
          <w:tcPr>
            <w:tcW w:type="dxa" w:w="3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Presença mensal + arbitragens ilimitadas + linha direta</w:t>
            </w:r>
          </w:p>
        </w:tc>
        <w:tc>
          <w:tcPr>
            <w:tcW w:type="dxa" w:w="25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{{VALOR_MENSAL}}/mês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Manutenção-Estratégia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Embutido na camada 3 do contrato de manutenção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ver proposta de continuidade</w:t>
            </w:r>
          </w:p>
        </w:tc>
      </w:tr>
    </w:tbl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Contrato de 12 meses · reajuste IPCA · saída com aviso de 60 dias · fatura mensal.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Para quem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Empresas que concluíram um programa ABBA e querem manter a direção estratégica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Empresas que JÁ têm IA rodando — comprada ou desenvolvida — mas não têm quem dirija: não é preciso ter feito o programa para contratar o Conselheiro</w:t>
      </w:r>
    </w:p>
    <w:p>
      <w:pPr>
        <w:spacing w:after="140" w:before="20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Próximo passo: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uma conversa de 30 minutos com a diretoria.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C2A35B"/>
          <w:sz w:val="22"/>
          <w:szCs w:val="22"/>
        </w:rPr>
        <w:t xml:space="preserve">contato@abbaservices.com.br · abbaservices.com.br</w:t>
      </w:r>
    </w:p>
    <w:p>
      <w:pPr>
        <w:spacing w:after="140" w:before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 — {{NOME_DA_EMPRESA}} · {{DATA}} · Ref: ABBA-{{ANO}}-{{NUM}} · Confidencial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2026-07-26T23:35:01.366Z</dcterms:created>
  <dcterms:modified xsi:type="dcterms:W3CDTF">2026-07-26T23:35:01.367Z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