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ptos Display" w:cs="Aptos Display" w:eastAsia="Aptos Display" w:hAnsi="Aptos Display"/>
          <w:b/>
          <w:bCs/>
          <w:color w:val="1B2A4A"/>
          <w:sz w:val="72"/>
          <w:szCs w:val="72"/>
        </w:rPr>
        <w:t xml:space="preserve">ABBA</w:t>
      </w:r>
    </w:p>
    <w:p>
      <w:pPr>
        <w:spacing w:after="600"/>
      </w:pPr>
      <w:r>
        <w:rPr>
          <w:rFonts w:ascii="Aptos" w:cs="Aptos" w:eastAsia="Aptos" w:hAnsi="Aptos"/>
          <w:color w:val="C2A35B"/>
          <w:sz w:val="24"/>
          <w:szCs w:val="24"/>
        </w:rPr>
        <w:t xml:space="preserve">Consultoria de IA</w:t>
      </w:r>
    </w:p>
    <w:p>
      <w:pPr>
        <w:spacing w:after="100"/>
      </w:pPr>
      <w:r>
        <w:rPr>
          <w:rFonts w:ascii="Aptos Display" w:cs="Aptos Display" w:eastAsia="Aptos Display" w:hAnsi="Aptos Display"/>
          <w:b/>
          <w:bCs/>
          <w:color w:val="1B2A4A"/>
          <w:sz w:val="44"/>
          <w:szCs w:val="44"/>
        </w:rPr>
        <w:t xml:space="preserve">Avaliação de Prontidão para IA</w:t>
      </w:r>
    </w:p>
    <w:p>
      <w:pPr>
        <w:spacing w:after="420"/>
      </w:pPr>
      <w:r>
        <w:rPr>
          <w:rFonts w:ascii="Aptos" w:cs="Aptos" w:eastAsia="Aptos" w:hAnsi="Aptos"/>
          <w:color w:val="5A6472"/>
          <w:sz w:val="26"/>
          <w:szCs w:val="26"/>
        </w:rPr>
        <w:t xml:space="preserve">2 semanas para uma resposta defensável: onde a IA gera valor real aqui — proposta comercial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Preparado para: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{{NOME_CONTATO}}, {{CARGO}} — {{NOME_DA_EMPRESA}}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Data: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{{DATA}}   |   Válida até: {{DATA_MAIS_30}}   |   Ref: ABBA-{{ANO}}-{{NUM}}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1.  O que você está contratando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Um engajamento de 2 semanas com o método proprietário ABBA — análise em 25 dimensões, entrevistas do conselho à linha de frente e revisão documental — que entrega: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Relatório de Maturidade em IA: pontuação em 6 dimensões executivas, lacunas críticas, quick wins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Mapa de Oportunidades: casos de uso ranqueados, com impacto financeiro rastreável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Caminho recomendado: até 3 agentes de IA com propósito, requisitos e retorno estimado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Apresentação executiva ao vivo para a diretoria + debrief com o patrocinador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2.  Quando esta avaliação faz sentido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Você precisa decidir se investe em um programa maior — e quer o diagnóstico antes do compromisso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Já decidiu investir, mas o conselho precisa ver o caso na linguagem da SUA operação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Há fornecedores de IA na mesa e falta uma avaliação independente do que é verdade aqui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3.  Como funciona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69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0 (antes do relógio)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Kickoff com patrocinador · pré-trabalho disparado na plataforma ABBA · composição de níveis confirmada</w:t>
            </w:r>
          </w:p>
        </w:tc>
      </w:tr>
      <w:tr>
        <w:tc>
          <w:tcPr>
            <w:tcW w:type="dxa" w:w="24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69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Entrevistas por nível (conselho → linha de frente) · documentos ingeridos · pré-trabalho assíncrono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Entrevista de governança · análise em 25 dimensões · briefing estratégico de 3h com a liderança</w:t>
            </w:r>
          </w:p>
        </w:tc>
      </w:tr>
      <w:tr>
        <w:tc>
          <w:tcPr>
            <w:tcW w:type="dxa" w:w="24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Entrega</w:t>
            </w:r>
          </w:p>
        </w:tc>
        <w:tc>
          <w:tcPr>
            <w:tcW w:type="dxa" w:w="69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Conjunto de relatórios em até 3 dias úteis · debrief de 60 min · decisão: seguir, adiar ou encerrar</w:t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4.  O que precisamos de você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Patrocinador executivo (~2h no total) · 3–6 executivos · 5–12 gestores · 10–25 operacionais · 2–3 pessoas de Jurídico/TI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Canal no Slack/Teams para os lembretes de pré-trabalho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5.  Investimento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{{PRECO_AVALIACAO}}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— até 25 participantes. Ajustes por porte na tabela vigente. Faturamento: 50% na assinatura, 50% em até 10 dias úteis após o debrief.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Saída limpa garantida: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os relatórios são seus, sem compromisso de continuidade. Se seguirem para o programa completo em até 90 dias, o valor credita 100%.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Termos essenciais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Confidencialidade: artefatos produzidos são propriedade sua; a ABBA retém cópia por 24 meses; estudos de caso só com consentimento escrito.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Cancelamento: ≥10 dias úteis antes do início — reembolso integral menos taxa de coordenação de {{TAXA_COORDENACAO}}; &lt;10 dias — 50%; após o início — 100%.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Dados: tratados conforme a LGPD (ABBA como Operadora). A ABBA não treina modelos com dados de clientes.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Não incluso: deslocamento fora da região metropolitana de {{CIDADE_BASE}}, coffee break.</w:t>
      </w:r>
    </w:p>
    <w:p>
      <w:pPr>
        <w:spacing w:after="200" w:befor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Assinaturas:</w:t>
      </w:r>
    </w:p>
    <w:p>
      <w:pPr>
        <w:spacing w:after="20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_______________________________   {{SIGNATÁRIO}} — {{NOME_DA_EMPRESA}} · Data: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_______________________________   ABBA Consultoria de IA · Data:</w:t>
      </w:r>
    </w:p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2026-07-23T16:33:49.834Z</dcterms:created>
  <dcterms:modified xsi:type="dcterms:W3CDTF">2026-07-23T16:33:49.834Z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