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400"/>
      </w:pPr>
      <w:r>
        <w:rPr>
          <w:rFonts w:ascii="Aptos Display" w:cs="Aptos Display" w:eastAsia="Aptos Display" w:hAnsi="Aptos Display"/>
          <w:b/>
          <w:bCs/>
          <w:color w:val="1B2A4A"/>
          <w:sz w:val="72"/>
          <w:szCs w:val="72"/>
        </w:rPr>
        <w:t xml:space="preserve">ABBA</w:t>
      </w:r>
    </w:p>
    <w:p>
      <w:pPr>
        <w:spacing w:after="600"/>
      </w:pPr>
      <w:r>
        <w:rPr>
          <w:rFonts w:ascii="Aptos" w:cs="Aptos" w:eastAsia="Aptos" w:hAnsi="Aptos"/>
          <w:color w:val="C2A35B"/>
          <w:sz w:val="24"/>
          <w:szCs w:val="24"/>
        </w:rPr>
        <w:t xml:space="preserve">Consultoria de IA</w:t>
      </w:r>
    </w:p>
    <w:p>
      <w:pPr>
        <w:spacing w:after="100"/>
      </w:pPr>
      <w:r>
        <w:rPr>
          <w:rFonts w:ascii="Aptos Display" w:cs="Aptos Display" w:eastAsia="Aptos Display" w:hAnsi="Aptos Display"/>
          <w:b/>
          <w:bCs/>
          <w:color w:val="1B2A4A"/>
          <w:sz w:val="44"/>
          <w:szCs w:val="44"/>
        </w:rPr>
        <w:t xml:space="preserve">Avaliação de Prontidão para IA</w:t>
      </w:r>
    </w:p>
    <w:p>
      <w:pPr>
        <w:spacing w:after="420"/>
      </w:pPr>
      <w:r>
        <w:rPr>
          <w:rFonts w:ascii="Aptos" w:cs="Aptos" w:eastAsia="Aptos" w:hAnsi="Aptos"/>
          <w:color w:val="5A6472"/>
          <w:sz w:val="26"/>
          <w:szCs w:val="26"/>
        </w:rPr>
        <w:t xml:space="preserve">2 semanas para uma resposta defensável: onde a IA gera valor real aqui — proposta comercial</w:t>
      </w:r>
    </w:p>
    <w:p>
      <w:pPr>
        <w:spacing w:after="60" w:before="0"/>
      </w:pPr>
      <w:r>
        <w:rPr>
          <w:rFonts w:ascii="Aptos" w:cs="Aptos" w:eastAsia="Aptos" w:hAnsi="Aptos"/>
          <w:b/>
          <w:bCs/>
          <w:i w:val="false"/>
          <w:iCs w:val="false"/>
          <w:color w:val="1B2A4A"/>
          <w:sz w:val="22"/>
          <w:szCs w:val="22"/>
        </w:rPr>
        <w:t xml:space="preserve">Preparado para: </w:t>
      </w:r>
      <w:r>
        <w:rPr>
          <w:rFonts w:ascii="Aptos" w:cs="Aptos" w:eastAsia="Aptos" w:hAnsi="Aptos"/>
          <w:b w:val="false"/>
          <w:bCs w:val="false"/>
          <w:i w:val="false"/>
          <w:iCs w:val="false"/>
          <w:color w:val="5A6472"/>
          <w:sz w:val="22"/>
          <w:szCs w:val="22"/>
        </w:rPr>
        <w:t xml:space="preserve">{{NOME_CONTATO}}, {{CARGO}} — {{NOME_DA_EMPRESA}}</w:t>
      </w:r>
    </w:p>
    <w:p>
      <w:pPr>
        <w:spacing w:after="60" w:before="0"/>
      </w:pPr>
      <w:r>
        <w:rPr>
          <w:rFonts w:ascii="Aptos" w:cs="Aptos" w:eastAsia="Aptos" w:hAnsi="Aptos"/>
          <w:b/>
          <w:bCs/>
          <w:i w:val="false"/>
          <w:iCs w:val="false"/>
          <w:color w:val="1B2A4A"/>
          <w:sz w:val="22"/>
          <w:szCs w:val="22"/>
        </w:rPr>
        <w:t xml:space="preserve">Data: </w:t>
      </w:r>
      <w:r>
        <w:rPr>
          <w:rFonts w:ascii="Aptos" w:cs="Aptos" w:eastAsia="Aptos" w:hAnsi="Aptos"/>
          <w:b w:val="false"/>
          <w:bCs w:val="false"/>
          <w:i w:val="false"/>
          <w:iCs w:val="false"/>
          <w:color w:val="5A6472"/>
          <w:sz w:val="22"/>
          <w:szCs w:val="22"/>
        </w:rPr>
        <w:t xml:space="preserve">{{DATA}}   |   Válida até: {{DATA_MAIS_30}}   |   Ref: ABBA-{{ANO}}-{{NUM}}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ptos Display" w:cs="Aptos Display" w:eastAsia="Aptos Display" w:hAnsi="Aptos Display"/>
          <w:b/>
          <w:bCs/>
          <w:color w:val="1B2A4A"/>
          <w:sz w:val="30"/>
          <w:szCs w:val="30"/>
        </w:rPr>
        <w:t xml:space="preserve">1.  O que você está contratando</w:t>
      </w:r>
    </w:p>
    <w:p>
      <w:pPr>
        <w:spacing w:after="14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B2B2B"/>
          <w:sz w:val="22"/>
          <w:szCs w:val="22"/>
        </w:rPr>
        <w:t xml:space="preserve">Um engajamento de 2 semanas com o método proprietário ABBA — análise em 25 dimensões, entrevistas do conselho à linha de frente e revisão documental — que entrega: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ptos" w:cs="Aptos" w:eastAsia="Aptos" w:hAnsi="Aptos"/>
          <w:b w:val="false"/>
          <w:bCs w:val="false"/>
          <w:color w:val="2B2B2B"/>
          <w:sz w:val="22"/>
          <w:szCs w:val="22"/>
        </w:rPr>
        <w:t xml:space="preserve">Relatório de Maturidade em IA: pontuação em 6 dimensões executivas, lacunas críticas, quick wins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ptos" w:cs="Aptos" w:eastAsia="Aptos" w:hAnsi="Aptos"/>
          <w:b w:val="false"/>
          <w:bCs w:val="false"/>
          <w:color w:val="2B2B2B"/>
          <w:sz w:val="22"/>
          <w:szCs w:val="22"/>
        </w:rPr>
        <w:t xml:space="preserve">Mapa de Oportunidades: casos de uso ranqueados, com impacto financeiro rastreável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ptos" w:cs="Aptos" w:eastAsia="Aptos" w:hAnsi="Aptos"/>
          <w:b w:val="false"/>
          <w:bCs w:val="false"/>
          <w:color w:val="2B2B2B"/>
          <w:sz w:val="22"/>
          <w:szCs w:val="22"/>
        </w:rPr>
        <w:t xml:space="preserve">Caminho recomendado: até 3 agentes de IA com propósito, requisitos e retorno estimado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ptos" w:cs="Aptos" w:eastAsia="Aptos" w:hAnsi="Aptos"/>
          <w:b w:val="false"/>
          <w:bCs w:val="false"/>
          <w:color w:val="2B2B2B"/>
          <w:sz w:val="22"/>
          <w:szCs w:val="22"/>
        </w:rPr>
        <w:t xml:space="preserve">Apresentação executiva ao vivo para a diretoria + debrief com o patrocinador</w:t>
      </w:r>
    </w:p>
    <w:p>
      <w:pPr>
        <w:pStyle w:val="Heading1"/>
        <w:spacing w:after="160" w:before="360"/>
      </w:pPr>
      <w:r>
        <w:rPr>
          <w:rFonts w:ascii="Aptos Display" w:cs="Aptos Display" w:eastAsia="Aptos Display" w:hAnsi="Aptos Display"/>
          <w:b/>
          <w:bCs/>
          <w:color w:val="1B2A4A"/>
          <w:sz w:val="30"/>
          <w:szCs w:val="30"/>
        </w:rPr>
        <w:t xml:space="preserve">2.  Quando esta avaliação faz sentido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ptos" w:cs="Aptos" w:eastAsia="Aptos" w:hAnsi="Aptos"/>
          <w:b w:val="false"/>
          <w:bCs w:val="false"/>
          <w:color w:val="2B2B2B"/>
          <w:sz w:val="22"/>
          <w:szCs w:val="22"/>
        </w:rPr>
        <w:t xml:space="preserve">Você precisa decidir se investe em um programa maior — e quer o diagnóstico antes do compromisso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ptos" w:cs="Aptos" w:eastAsia="Aptos" w:hAnsi="Aptos"/>
          <w:b w:val="false"/>
          <w:bCs w:val="false"/>
          <w:color w:val="2B2B2B"/>
          <w:sz w:val="22"/>
          <w:szCs w:val="22"/>
        </w:rPr>
        <w:t xml:space="preserve">Já decidiu investir, mas o conselho precisa ver o caso na linguagem da SUA operação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ptos" w:cs="Aptos" w:eastAsia="Aptos" w:hAnsi="Aptos"/>
          <w:b w:val="false"/>
          <w:bCs w:val="false"/>
          <w:color w:val="2B2B2B"/>
          <w:sz w:val="22"/>
          <w:szCs w:val="22"/>
        </w:rPr>
        <w:t xml:space="preserve">Há fornecedores de IA na mesa e falta uma avaliação independente do que é verdade aqui</w:t>
      </w:r>
    </w:p>
    <w:p>
      <w:pPr>
        <w:pStyle w:val="Heading1"/>
        <w:spacing w:after="160" w:before="360"/>
      </w:pPr>
      <w:r>
        <w:rPr>
          <w:rFonts w:ascii="Aptos Display" w:cs="Aptos Display" w:eastAsia="Aptos Display" w:hAnsi="Aptos Display"/>
          <w:b/>
          <w:bCs/>
          <w:color w:val="1B2A4A"/>
          <w:sz w:val="30"/>
          <w:szCs w:val="30"/>
        </w:rPr>
        <w:t xml:space="preserve">3.  Como funciona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50"/>
      </w:tblGrid>
      <w:tr>
        <w:trPr>
          <w:tblHeader/>
        </w:trPr>
        <w:tc>
          <w:tcPr>
            <w:tcW w:type="dxa" w:w="2400"/>
            <w:shd w:fill="1B2A4A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Semana</w:t>
            </w:r>
          </w:p>
        </w:tc>
        <w:tc>
          <w:tcPr>
            <w:tcW w:type="dxa" w:w="6950"/>
            <w:shd w:fill="1B2A4A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O que acontece</w:t>
            </w:r>
          </w:p>
        </w:tc>
      </w:tr>
      <w:tr>
        <w:tc>
          <w:tcPr>
            <w:tcW w:type="dxa" w:w="2400"/>
            <w:shd w:fill="FFFFFF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color w:val="2B2B2B"/>
                <w:sz w:val="20"/>
                <w:szCs w:val="20"/>
              </w:rPr>
              <w:t xml:space="preserve">0 (antes do relógio)</w:t>
            </w:r>
          </w:p>
        </w:tc>
        <w:tc>
          <w:tcPr>
            <w:tcW w:type="dxa" w:w="6950"/>
            <w:shd w:fill="FFFFFF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color w:val="2B2B2B"/>
                <w:sz w:val="20"/>
                <w:szCs w:val="20"/>
              </w:rPr>
              <w:t xml:space="preserve">Kickoff com patrocinador · pré-trabalho disparado na plataforma ABBA · composição de níveis confirmada</w:t>
            </w:r>
          </w:p>
        </w:tc>
      </w:tr>
      <w:tr>
        <w:tc>
          <w:tcPr>
            <w:tcW w:type="dxa" w:w="2400"/>
            <w:shd w:fill="F4F6F9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color w:val="2B2B2B"/>
                <w:sz w:val="20"/>
                <w:szCs w:val="20"/>
              </w:rPr>
              <w:t xml:space="preserve">1</w:t>
            </w:r>
          </w:p>
        </w:tc>
        <w:tc>
          <w:tcPr>
            <w:tcW w:type="dxa" w:w="6950"/>
            <w:shd w:fill="F4F6F9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color w:val="2B2B2B"/>
                <w:sz w:val="20"/>
                <w:szCs w:val="20"/>
              </w:rPr>
              <w:t xml:space="preserve">Entrevistas por nível (conselho → linha de frente) · documentos ingeridos · pré-trabalho assíncrono</w:t>
            </w:r>
          </w:p>
        </w:tc>
      </w:tr>
      <w:tr>
        <w:tc>
          <w:tcPr>
            <w:tcW w:type="dxa" w:w="2400"/>
            <w:shd w:fill="FFFFFF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color w:val="2B2B2B"/>
                <w:sz w:val="20"/>
                <w:szCs w:val="20"/>
              </w:rPr>
              <w:t xml:space="preserve">2</w:t>
            </w:r>
          </w:p>
        </w:tc>
        <w:tc>
          <w:tcPr>
            <w:tcW w:type="dxa" w:w="6950"/>
            <w:shd w:fill="FFFFFF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color w:val="2B2B2B"/>
                <w:sz w:val="20"/>
                <w:szCs w:val="20"/>
              </w:rPr>
              <w:t xml:space="preserve">Entrevista de governança · análise em 25 dimensões · briefing estratégico de 3h com a liderança</w:t>
            </w:r>
          </w:p>
        </w:tc>
      </w:tr>
      <w:tr>
        <w:tc>
          <w:tcPr>
            <w:tcW w:type="dxa" w:w="2400"/>
            <w:shd w:fill="F4F6F9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color w:val="2B2B2B"/>
                <w:sz w:val="20"/>
                <w:szCs w:val="20"/>
              </w:rPr>
              <w:t xml:space="preserve">Entrega</w:t>
            </w:r>
          </w:p>
        </w:tc>
        <w:tc>
          <w:tcPr>
            <w:tcW w:type="dxa" w:w="6950"/>
            <w:shd w:fill="F4F6F9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color w:val="2B2B2B"/>
                <w:sz w:val="20"/>
                <w:szCs w:val="20"/>
              </w:rPr>
              <w:t xml:space="preserve">Conjunto de relatórios em até 3 dias úteis · debrief de 60 min · decisão: seguir, adiar ou encerrar</w:t>
            </w:r>
          </w:p>
        </w:tc>
      </w:tr>
    </w:tbl>
    <w:p>
      <w:pPr>
        <w:pStyle w:val="Heading1"/>
        <w:spacing w:after="160" w:before="360"/>
      </w:pPr>
      <w:r>
        <w:rPr>
          <w:rFonts w:ascii="Aptos Display" w:cs="Aptos Display" w:eastAsia="Aptos Display" w:hAnsi="Aptos Display"/>
          <w:b/>
          <w:bCs/>
          <w:color w:val="1B2A4A"/>
          <w:sz w:val="30"/>
          <w:szCs w:val="30"/>
        </w:rPr>
        <w:t xml:space="preserve">4.  O que precisamos de você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ptos" w:cs="Aptos" w:eastAsia="Aptos" w:hAnsi="Aptos"/>
          <w:b w:val="false"/>
          <w:bCs w:val="false"/>
          <w:color w:val="2B2B2B"/>
          <w:sz w:val="22"/>
          <w:szCs w:val="22"/>
        </w:rPr>
        <w:t xml:space="preserve">Patrocinador executivo (~2h no total) · 3–6 executivos · 5–12 gestores · 10–25 operacionais · 2–3 pessoas de Jurídico/TI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ptos" w:cs="Aptos" w:eastAsia="Aptos" w:hAnsi="Aptos"/>
          <w:b w:val="false"/>
          <w:bCs w:val="false"/>
          <w:color w:val="2B2B2B"/>
          <w:sz w:val="22"/>
          <w:szCs w:val="22"/>
        </w:rPr>
        <w:t xml:space="preserve">Canal no Slack/Teams para os lembretes de pré-trabalho</w:t>
      </w:r>
    </w:p>
    <w:p>
      <w:pPr>
        <w:pStyle w:val="Heading1"/>
        <w:spacing w:after="160" w:before="360"/>
      </w:pPr>
      <w:r>
        <w:rPr>
          <w:rFonts w:ascii="Aptos Display" w:cs="Aptos Display" w:eastAsia="Aptos Display" w:hAnsi="Aptos Display"/>
          <w:b/>
          <w:bCs/>
          <w:color w:val="1B2A4A"/>
          <w:sz w:val="30"/>
          <w:szCs w:val="30"/>
        </w:rPr>
        <w:t xml:space="preserve">5.  Investimento</w:t>
      </w:r>
    </w:p>
    <w:p>
      <w:pPr>
        <w:spacing w:after="140" w:before="0"/>
      </w:pPr>
      <w:r>
        <w:rPr>
          <w:rFonts w:ascii="Aptos" w:cs="Aptos" w:eastAsia="Aptos" w:hAnsi="Aptos"/>
          <w:b/>
          <w:bCs/>
          <w:i w:val="false"/>
          <w:iCs w:val="false"/>
          <w:color w:val="1B2A4A"/>
          <w:sz w:val="22"/>
          <w:szCs w:val="22"/>
        </w:rPr>
        <w:t xml:space="preserve">R$ 28.000</w:t>
      </w:r>
      <w:r>
        <w:rPr>
          <w:rFonts w:ascii="Aptos" w:cs="Aptos" w:eastAsia="Aptos" w:hAnsi="Aptos"/>
          <w:b w:val="false"/>
          <w:bCs w:val="false"/>
          <w:i w:val="false"/>
          <w:iCs w:val="false"/>
          <w:color w:val="2B2B2B"/>
          <w:sz w:val="22"/>
          <w:szCs w:val="22"/>
        </w:rPr>
        <w:t xml:space="preserve"> (faixa R$ 24–35 mil conforme porte) — até 25 participantes. Faturamento: 50% na assinatura, 50% em até 10 dias úteis após o debrief.</w:t>
      </w:r>
    </w:p>
    <w:p>
      <w:pPr>
        <w:spacing w:after="140" w:before="0"/>
      </w:pPr>
      <w:r>
        <w:rPr>
          <w:rFonts w:ascii="Aptos" w:cs="Aptos" w:eastAsia="Aptos" w:hAnsi="Aptos"/>
          <w:b/>
          <w:bCs/>
          <w:i w:val="false"/>
          <w:iCs w:val="false"/>
          <w:color w:val="1B2A4A"/>
          <w:sz w:val="22"/>
          <w:szCs w:val="22"/>
        </w:rPr>
        <w:t xml:space="preserve">Saída limpa garantida: </w:t>
      </w:r>
      <w:r>
        <w:rPr>
          <w:rFonts w:ascii="Aptos" w:cs="Aptos" w:eastAsia="Aptos" w:hAnsi="Aptos"/>
          <w:b w:val="false"/>
          <w:bCs w:val="false"/>
          <w:i w:val="false"/>
          <w:iCs w:val="false"/>
          <w:color w:val="2B2B2B"/>
          <w:sz w:val="22"/>
          <w:szCs w:val="22"/>
        </w:rPr>
        <w:t xml:space="preserve">os relatórios são seus, sem compromisso de continuidade. Se seguirem para o programa completo em até 90 dias, o valor credita 100%.</w:t>
      </w:r>
    </w:p>
    <w:p>
      <w:pPr>
        <w:pStyle w:val="Heading1"/>
        <w:spacing w:after="160" w:before="360"/>
      </w:pPr>
      <w:r>
        <w:rPr>
          <w:rFonts w:ascii="Aptos Display" w:cs="Aptos Display" w:eastAsia="Aptos Display" w:hAnsi="Aptos Display"/>
          <w:b/>
          <w:bCs/>
          <w:color w:val="1B2A4A"/>
          <w:sz w:val="30"/>
          <w:szCs w:val="30"/>
        </w:rPr>
        <w:t xml:space="preserve">Termos essenciais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ptos" w:cs="Aptos" w:eastAsia="Aptos" w:hAnsi="Aptos"/>
          <w:b w:val="false"/>
          <w:bCs w:val="false"/>
          <w:color w:val="2B2B2B"/>
          <w:sz w:val="22"/>
          <w:szCs w:val="22"/>
        </w:rPr>
        <w:t xml:space="preserve">Confidencialidade: artefatos produzidos são propriedade sua; a ABBA retém cópia por 24 meses; estudos de caso só com consentimento escrito.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ptos" w:cs="Aptos" w:eastAsia="Aptos" w:hAnsi="Aptos"/>
          <w:b w:val="false"/>
          <w:bCs w:val="false"/>
          <w:color w:val="2B2B2B"/>
          <w:sz w:val="22"/>
          <w:szCs w:val="22"/>
        </w:rPr>
        <w:t xml:space="preserve">Cancelamento: ≥10 dias úteis antes do início — reembolso integral menos taxa de coordenação de {{TAXA_COORDENACAO}}; &lt;10 dias — 50%; após o início — 100%.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ptos" w:cs="Aptos" w:eastAsia="Aptos" w:hAnsi="Aptos"/>
          <w:b w:val="false"/>
          <w:bCs w:val="false"/>
          <w:color w:val="2B2B2B"/>
          <w:sz w:val="22"/>
          <w:szCs w:val="22"/>
        </w:rPr>
        <w:t xml:space="preserve">Dados: tratados conforme a LGPD (ABBA como Operadora). A ABBA não treina modelos com dados de clientes.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ptos" w:cs="Aptos" w:eastAsia="Aptos" w:hAnsi="Aptos"/>
          <w:b w:val="false"/>
          <w:bCs w:val="false"/>
          <w:color w:val="2B2B2B"/>
          <w:sz w:val="22"/>
          <w:szCs w:val="22"/>
        </w:rPr>
        <w:t xml:space="preserve">Não incluso: deslocamento fora da região metropolitana de {{CIDADE_BASE}}, coffee break.</w:t>
      </w:r>
    </w:p>
    <w:p>
      <w:pPr>
        <w:spacing w:after="200" w:before="30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B2B2B"/>
          <w:sz w:val="22"/>
          <w:szCs w:val="22"/>
        </w:rPr>
        <w:t xml:space="preserve">Assinaturas:</w:t>
      </w:r>
    </w:p>
    <w:p>
      <w:pPr>
        <w:spacing w:after="20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B2B2B"/>
          <w:sz w:val="22"/>
          <w:szCs w:val="22"/>
        </w:rPr>
        <w:t xml:space="preserve">_______________________________   {{SIGNATÁRIO}} — {{NOME_DA_EMPRESA}} · Data:</w:t>
      </w:r>
    </w:p>
    <w:p>
      <w:pPr>
        <w:spacing w:after="14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2B2B2B"/>
          <w:sz w:val="22"/>
          <w:szCs w:val="22"/>
        </w:rPr>
        <w:t xml:space="preserve">_______________________________   ABBA Consultoria de IA · Data:</w:t>
      </w:r>
    </w:p>
    <w:sectPr>
      <w:headerReference w:type="default" r:id="rId7"/>
      <w:footerReference w:type="default" r:id="rId8"/>
      <w:pgSz w:w="11906" w:h="16838" w:orient="portrait"/>
      <w:pgMar w:top="1250" w:right="1250" w:bottom="1100" w:left="12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50"/>
      </w:tabs>
    </w:pPr>
    <w:r>
      <w:rPr>
        <w:rFonts w:ascii="Aptos" w:cs="Aptos" w:eastAsia="Aptos" w:hAnsi="Aptos"/>
        <w:color w:val="5A6472"/>
        <w:sz w:val="18"/>
        <w:szCs w:val="18"/>
      </w:rPr>
      <w:t xml:space="preserve">ABBA · Consultoria de IA</w:t>
    </w:r>
    <w:r>
      <w:rPr>
        <w:rFonts w:ascii="Aptos" w:cs="Aptos" w:eastAsia="Aptos" w:hAnsi="Aptos"/>
        <w:color w:val="C2A35B"/>
        <w:sz w:val="18"/>
        <w:szCs w:val="18"/>
      </w:rPr>
      <w:t xml:space="preserve">	abbaservices.com.br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ptos" w:cs="Aptos" w:eastAsia="Aptos" w:hAnsi="Aptos"/>
        <w:color w:val="5A6472"/>
        <w:sz w:val="18"/>
        <w:szCs w:val="18"/>
      </w:rPr>
      <w:t xml:space="preserve">Confidencial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2026-07-24T19:24:30.540Z</dcterms:created>
  <dcterms:modified xsi:type="dcterms:W3CDTF">2026-07-24T19:24:30.540Z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