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500"/>
      </w:pPr>
      <w:r>
        <w:rPr>
          <w:rFonts w:ascii="Aptos Display" w:cs="Aptos Display" w:eastAsia="Aptos Display" w:hAnsi="Aptos Display"/>
          <w:b/>
          <w:bCs/>
          <w:color w:val="1B2A4A"/>
          <w:sz w:val="88"/>
          <w:szCs w:val="88"/>
        </w:rPr>
        <w:t xml:space="preserve">ABBA</w:t>
      </w:r>
    </w:p>
    <w:p>
      <w:pPr>
        <w:spacing w:after="700"/>
      </w:pPr>
      <w:r>
        <w:rPr>
          <w:rFonts w:ascii="Aptos" w:cs="Aptos" w:eastAsia="Aptos" w:hAnsi="Aptos"/>
          <w:color w:val="C2A35B"/>
          <w:sz w:val="26"/>
          <w:szCs w:val="26"/>
        </w:rPr>
        <w:t xml:space="preserve">Consultoria de IA</w:t>
      </w:r>
    </w:p>
    <w:p>
      <w:pPr>
        <w:spacing w:after="120"/>
      </w:pPr>
      <w:r>
        <w:rPr>
          <w:rFonts w:ascii="Aptos Display" w:cs="Aptos Display" w:eastAsia="Aptos Display" w:hAnsi="Aptos Display"/>
          <w:b/>
          <w:bCs/>
          <w:color w:val="1B2A4A"/>
          <w:sz w:val="56"/>
          <w:szCs w:val="56"/>
        </w:rPr>
        <w:t xml:space="preserve">Análise ABBA</w:t>
      </w:r>
    </w:p>
    <w:p>
      <w:pPr>
        <w:spacing w:after="500"/>
      </w:pPr>
      <w:r>
        <w:rPr>
          <w:rFonts w:ascii="Aptos Display" w:cs="Aptos Display" w:eastAsia="Aptos Display" w:hAnsi="Aptos Display"/>
          <w:color w:val="5A6472"/>
          <w:sz w:val="40"/>
          <w:szCs w:val="40"/>
        </w:rPr>
        <w:t xml:space="preserve">{{NOME_DA_EMPRESA}}</w:t>
      </w:r>
    </w:p>
    <w:p>
      <w:pPr>
        <w:spacing w:after="6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Preparado para: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{{NOME_CONTATO}}, {{CARGO}}</w:t>
      </w:r>
    </w:p>
    <w:p>
      <w:pPr>
        <w:spacing w:after="6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Data: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{{DATA}}   |   Ref: ABBA-{{ANO}}-{{NUM}}</w:t>
      </w:r>
    </w:p>
    <w:p>
      <w:pPr>
        <w:spacing w:after="0" w:before="200"/>
      </w:pPr>
      <w:r>
        <w:rPr>
          <w:rFonts w:ascii="Aptos" w:cs="Aptos" w:eastAsia="Aptos" w:hAnsi="Aptos"/>
          <w:b w:val="false"/>
          <w:bCs w:val="false"/>
          <w:i/>
          <w:iCs/>
          <w:color w:val="5A6472"/>
          <w:sz w:val="22"/>
          <w:szCs w:val="22"/>
        </w:rPr>
        <w:t xml:space="preserve">Uma amostra gratuita do método ABBA, elaborada exclusivamente com informação pública.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ptos Display" w:cs="Aptos Display" w:eastAsia="Aptos Display" w:hAnsi="Aptos Display"/>
          <w:b/>
          <w:bCs/>
          <w:color w:val="1B2A4A"/>
          <w:sz w:val="32"/>
          <w:szCs w:val="32"/>
        </w:rPr>
        <w:t xml:space="preserve">1.  O que é esta análise</w:t>
      </w:r>
    </w:p>
    <w:p>
      <w:pPr>
        <w:spacing w:after="14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B2B2B"/>
          <w:sz w:val="22"/>
          <w:szCs w:val="22"/>
        </w:rPr>
        <w:t xml:space="preserve">Esta é a Análise ABBA: uma leitura estruturada da {{NOME_DA_EMPRESA}} feita com o nosso método e as nossas ferramentas — usando apenas informação pública (site, notícias, vagas abertas, dados setoriais). É de graça, e é uma amostra honesta do que fazemos.</w:t>
      </w:r>
    </w:p>
    <w:p>
      <w:pPr>
        <w:spacing w:after="14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O limite honesto: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B2B2B"/>
          <w:sz w:val="22"/>
          <w:szCs w:val="22"/>
        </w:rPr>
        <w:t xml:space="preserve">isto foi feito de fora. As hipóteses abaixo são exatamente isso — hipóteses. A avaliação profunda (seção 5) entrevista do conselho à linha de frente e transforma hipóteses em um plano quantificado. Se acertamos alguma coisa aqui de fora, imagine com os dados de dentro.</w:t>
      </w:r>
    </w:p>
    <w:p>
      <w:pPr>
        <w:pStyle w:val="Heading1"/>
        <w:spacing w:after="160" w:before="360"/>
      </w:pPr>
      <w:r>
        <w:rPr>
          <w:rFonts w:ascii="Aptos Display" w:cs="Aptos Display" w:eastAsia="Aptos Display" w:hAnsi="Aptos Display"/>
          <w:b/>
          <w:bCs/>
          <w:color w:val="1B2A4A"/>
          <w:sz w:val="32"/>
          <w:szCs w:val="32"/>
        </w:rPr>
        <w:t xml:space="preserve">2.  O que observamos sobre a {{NOME_DA_EMPRESA}}</w:t>
      </w:r>
    </w:p>
    <w:p>
      <w:pPr>
        <w:spacing w:after="14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B2B2B"/>
          <w:sz w:val="22"/>
          <w:szCs w:val="22"/>
        </w:rPr>
        <w:t xml:space="preserve">{{2–3 PARÁGRAFOS: contexto da empresa, momento do setor, sinais observados — concorrência adotando IA, gargalos evidentes, movimentos recentes}}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050"/>
      </w:tblGrid>
      <w:tr>
        <w:trPr>
          <w:tblHeader/>
        </w:trPr>
        <w:tc>
          <w:tcPr>
            <w:tcW w:type="dxa" w:w="4300"/>
            <w:shd w:fill="1B2A4A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Sinal observado</w:t>
            </w:r>
          </w:p>
        </w:tc>
        <w:tc>
          <w:tcPr>
            <w:tcW w:type="dxa" w:w="5050"/>
            <w:shd w:fill="1B2A4A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O que pode indicar</w:t>
            </w:r>
          </w:p>
        </w:tc>
      </w:tr>
      <w:tr>
        <w:tc>
          <w:tcPr>
            <w:tcW w:type="dxa" w:w="4300"/>
            <w:shd w:fill="FFFFFF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{{SINAL_1 — ex.: vagas abertas repetidas na área X}}</w:t>
            </w:r>
          </w:p>
        </w:tc>
        <w:tc>
          <w:tcPr>
            <w:tcW w:type="dxa" w:w="5050"/>
            <w:shd w:fill="FFFFFF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{{LEITURA_1 — ex.: gargalo operacional crônico}}</w:t>
            </w:r>
          </w:p>
        </w:tc>
      </w:tr>
      <w:tr>
        <w:tc>
          <w:tcPr>
            <w:tcW w:type="dxa" w:w="4300"/>
            <w:shd w:fill="F4F6F9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{{SINAL_2}}</w:t>
            </w:r>
          </w:p>
        </w:tc>
        <w:tc>
          <w:tcPr>
            <w:tcW w:type="dxa" w:w="5050"/>
            <w:shd w:fill="F4F6F9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{{LEITURA_2}}</w:t>
            </w:r>
          </w:p>
        </w:tc>
      </w:tr>
      <w:tr>
        <w:tc>
          <w:tcPr>
            <w:tcW w:type="dxa" w:w="4300"/>
            <w:shd w:fill="FFFFFF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{{SINAL_3}}</w:t>
            </w:r>
          </w:p>
        </w:tc>
        <w:tc>
          <w:tcPr>
            <w:tcW w:type="dxa" w:w="5050"/>
            <w:shd w:fill="FFFFFF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{{LEITURA_3}}</w:t>
            </w:r>
          </w:p>
        </w:tc>
      </w:tr>
    </w:tbl>
    <w:p>
      <w:pPr>
        <w:pStyle w:val="Heading1"/>
        <w:spacing w:after="160" w:before="360"/>
      </w:pPr>
      <w:r>
        <w:rPr>
          <w:rFonts w:ascii="Aptos Display" w:cs="Aptos Display" w:eastAsia="Aptos Display" w:hAnsi="Aptos Display"/>
          <w:b/>
          <w:bCs/>
          <w:color w:val="1B2A4A"/>
          <w:sz w:val="32"/>
          <w:szCs w:val="32"/>
        </w:rPr>
        <w:t xml:space="preserve">3.  Três hipóteses de oportunidade de IA</w:t>
      </w:r>
    </w:p>
    <w:p>
      <w:pPr>
        <w:spacing w:after="14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Ranqueadas por potencial estimado. Para cada uma: por que acreditamos nela, o impacto se confirmada, e o que verificaríamos primeiro.</w:t>
      </w:r>
    </w:p>
    <w:p>
      <w:pPr>
        <w:spacing w:after="120" w:before="260"/>
      </w:pPr>
      <w:r>
        <w:rPr>
          <w:rFonts w:ascii="Aptos Display" w:cs="Aptos Display" w:eastAsia="Aptos Display" w:hAnsi="Aptos Display"/>
          <w:b/>
          <w:bCs/>
          <w:color w:val="C2A35B"/>
          <w:sz w:val="26"/>
          <w:szCs w:val="26"/>
        </w:rPr>
        <w:t xml:space="preserve">Hipótese 1 — </w:t>
      </w:r>
      <w:r>
        <w:rPr>
          <w:rFonts w:ascii="Aptos Display" w:cs="Aptos Display" w:eastAsia="Aptos Display" w:hAnsi="Aptos Display"/>
          <w:b/>
          <w:bCs/>
          <w:color w:val="1B2A4A"/>
          <w:sz w:val="26"/>
          <w:szCs w:val="26"/>
        </w:rPr>
        <w:t xml:space="preserve">{{TÍTULO_CURTO_DA_OPORTUNIDADE}}</w:t>
      </w:r>
    </w:p>
    <w:p>
      <w:pPr>
        <w:spacing w:after="9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O que observamos: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{{EVIDÊNCIA_PÚBLICA}}</w:t>
      </w:r>
    </w:p>
    <w:p>
      <w:pPr>
        <w:spacing w:after="9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A oportunidade: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{{O QUE UM AGENTE DE IA FARIA — processo, decisão ou análise}}</w:t>
      </w:r>
    </w:p>
    <w:p>
      <w:pPr>
        <w:spacing w:after="9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Impacto potencial: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{{ORDEM DE GRANDEZA — horas/semana, custo evitado, receita destravada}}</w:t>
      </w:r>
    </w:p>
    <w:p>
      <w:pPr>
        <w:spacing w:after="9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O que confirmaríamos primeiro: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{{PERGUNTA-CHAVE que a avaliação profunda responderia}}</w:t>
      </w:r>
    </w:p>
    <w:p>
      <w:pPr>
        <w:spacing w:after="120" w:before="260"/>
      </w:pPr>
      <w:r>
        <w:rPr>
          <w:rFonts w:ascii="Aptos Display" w:cs="Aptos Display" w:eastAsia="Aptos Display" w:hAnsi="Aptos Display"/>
          <w:b/>
          <w:bCs/>
          <w:color w:val="C2A35B"/>
          <w:sz w:val="26"/>
          <w:szCs w:val="26"/>
        </w:rPr>
        <w:t xml:space="preserve">Hipótese 2 — </w:t>
      </w:r>
      <w:r>
        <w:rPr>
          <w:rFonts w:ascii="Aptos Display" w:cs="Aptos Display" w:eastAsia="Aptos Display" w:hAnsi="Aptos Display"/>
          <w:b/>
          <w:bCs/>
          <w:color w:val="1B2A4A"/>
          <w:sz w:val="26"/>
          <w:szCs w:val="26"/>
        </w:rPr>
        <w:t xml:space="preserve">{{TÍTULO_CURTO_DA_OPORTUNIDADE}}</w:t>
      </w:r>
    </w:p>
    <w:p>
      <w:pPr>
        <w:spacing w:after="9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O que observamos: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{{...}}</w:t>
      </w:r>
    </w:p>
    <w:p>
      <w:pPr>
        <w:spacing w:after="9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A oportunidade: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{{...}}</w:t>
      </w:r>
    </w:p>
    <w:p>
      <w:pPr>
        <w:spacing w:after="9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Impacto potencial: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{{...}}</w:t>
      </w:r>
    </w:p>
    <w:p>
      <w:pPr>
        <w:spacing w:after="9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O que confirmaríamos primeiro: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{{...}}</w:t>
      </w:r>
    </w:p>
    <w:p>
      <w:pPr>
        <w:spacing w:after="120" w:before="260"/>
      </w:pPr>
      <w:r>
        <w:rPr>
          <w:rFonts w:ascii="Aptos Display" w:cs="Aptos Display" w:eastAsia="Aptos Display" w:hAnsi="Aptos Display"/>
          <w:b/>
          <w:bCs/>
          <w:color w:val="C2A35B"/>
          <w:sz w:val="26"/>
          <w:szCs w:val="26"/>
        </w:rPr>
        <w:t xml:space="preserve">Hipótese 3 — </w:t>
      </w:r>
      <w:r>
        <w:rPr>
          <w:rFonts w:ascii="Aptos Display" w:cs="Aptos Display" w:eastAsia="Aptos Display" w:hAnsi="Aptos Display"/>
          <w:b/>
          <w:bCs/>
          <w:color w:val="1B2A4A"/>
          <w:sz w:val="26"/>
          <w:szCs w:val="26"/>
        </w:rPr>
        <w:t xml:space="preserve">{{TÍTULO_CURTO_DA_OPORTUNIDADE}}</w:t>
      </w:r>
    </w:p>
    <w:p>
      <w:pPr>
        <w:spacing w:after="9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O que observamos: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{{...}}</w:t>
      </w:r>
    </w:p>
    <w:p>
      <w:pPr>
        <w:spacing w:after="9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A oportunidade: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{{...}}</w:t>
      </w:r>
    </w:p>
    <w:p>
      <w:pPr>
        <w:spacing w:after="9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Impacto potencial: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{{...}}</w:t>
      </w:r>
    </w:p>
    <w:p>
      <w:pPr>
        <w:spacing w:after="9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O que confirmaríamos primeiro: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{{...}}</w:t>
      </w:r>
    </w:p>
    <w:p>
      <w:pPr>
        <w:pStyle w:val="Heading1"/>
        <w:spacing w:after="160" w:before="360"/>
      </w:pPr>
      <w:r>
        <w:rPr>
          <w:rFonts w:ascii="Aptos Display" w:cs="Aptos Display" w:eastAsia="Aptos Display" w:hAnsi="Aptos Display"/>
          <w:b/>
          <w:bCs/>
          <w:color w:val="1B2A4A"/>
          <w:sz w:val="32"/>
          <w:szCs w:val="32"/>
        </w:rPr>
        <w:t xml:space="preserve">4.  As perguntas que faríamos à sua diretoria</w:t>
      </w:r>
    </w:p>
    <w:p>
      <w:pPr>
        <w:spacing w:after="14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As respostas mudam o ranking acima — e só existem dentro da empresa: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{{PERGUNTA_1 — ligada à hipótese 1}}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{{PERGUNTA_2 — ligada à hipótese 2}}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{{PERGUNTA_3 — ligada à hipótese 3}}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{{PERGUNTA_4 — sobre objetivo estratégico da diretoria}}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{{PERGUNTA_5 — sobre dados/sistemas}}</w:t>
      </w:r>
    </w:p>
    <w:p>
      <w:pPr>
        <w:pStyle w:val="Heading1"/>
        <w:spacing w:after="160" w:before="360"/>
      </w:pPr>
      <w:r>
        <w:rPr>
          <w:rFonts w:ascii="Aptos Display" w:cs="Aptos Display" w:eastAsia="Aptos Display" w:hAnsi="Aptos Display"/>
          <w:b/>
          <w:bCs/>
          <w:color w:val="1B2A4A"/>
          <w:sz w:val="32"/>
          <w:szCs w:val="32"/>
        </w:rPr>
        <w:t xml:space="preserve">5.  O que a avaliação profunda revelaria</w:t>
      </w:r>
    </w:p>
    <w:p>
      <w:pPr>
        <w:spacing w:after="14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B2B2B"/>
          <w:sz w:val="22"/>
          <w:szCs w:val="22"/>
        </w:rPr>
        <w:t xml:space="preserve">A Análise ABBA olha de fora. A Avaliação de Prontidão para IA olha de dentro — a empresa inteira, em 25 dimensões proprietárias: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050"/>
      </w:tblGrid>
      <w:tr>
        <w:trPr>
          <w:tblHeader/>
        </w:trPr>
        <w:tc>
          <w:tcPr>
            <w:tcW w:type="dxa" w:w="4300"/>
            <w:shd w:fill="1B2A4A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Esta análise (gratuita)</w:t>
            </w:r>
          </w:p>
        </w:tc>
        <w:tc>
          <w:tcPr>
            <w:tcW w:type="dxa" w:w="5050"/>
            <w:shd w:fill="1B2A4A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Avaliação profunda (2 semanas)</w:t>
            </w:r>
          </w:p>
        </w:tc>
      </w:tr>
      <w:tr>
        <w:tc>
          <w:tcPr>
            <w:tcW w:type="dxa" w:w="4300"/>
            <w:shd w:fill="FFFFFF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Informação pública</w:t>
            </w:r>
          </w:p>
        </w:tc>
        <w:tc>
          <w:tcPr>
            <w:tcW w:type="dxa" w:w="5050"/>
            <w:shd w:fill="FFFFFF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Entrevistas do conselho à linha de frente + documentos internos</w:t>
            </w:r>
          </w:p>
        </w:tc>
      </w:tr>
      <w:tr>
        <w:tc>
          <w:tcPr>
            <w:tcW w:type="dxa" w:w="4300"/>
            <w:shd w:fill="F4F6F9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3 hipóteses qualitativas</w:t>
            </w:r>
          </w:p>
        </w:tc>
        <w:tc>
          <w:tcPr>
            <w:tcW w:type="dxa" w:w="5050"/>
            <w:shd w:fill="F4F6F9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Portfólio ranqueado de oportunidades, com impacto financeiro estimado por item</w:t>
            </w:r>
          </w:p>
        </w:tc>
      </w:tr>
      <w:tr>
        <w:tc>
          <w:tcPr>
            <w:tcW w:type="dxa" w:w="4300"/>
            <w:shd w:fill="FFFFFF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Leitura de sinais</w:t>
            </w:r>
          </w:p>
        </w:tc>
        <w:tc>
          <w:tcPr>
            <w:tcW w:type="dxa" w:w="5050"/>
            <w:shd w:fill="FFFFFF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Pontuação de prontidão em 25 dimensões + lacunas de governança</w:t>
            </w:r>
          </w:p>
        </w:tc>
      </w:tr>
      <w:tr>
        <w:tc>
          <w:tcPr>
            <w:tcW w:type="dxa" w:w="4300"/>
            <w:shd w:fill="F4F6F9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Perguntas</w:t>
            </w:r>
          </w:p>
        </w:tc>
        <w:tc>
          <w:tcPr>
            <w:tcW w:type="dxa" w:w="5050"/>
            <w:shd w:fill="F4F6F9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Respostas — e um caminho recomendado de até 3 agentes de IA, com justificativa</w:t>
            </w:r>
          </w:p>
        </w:tc>
      </w:tr>
    </w:tbl>
    <w:p>
      <w:pPr>
        <w:pStyle w:val="Heading1"/>
        <w:spacing w:after="160" w:before="360"/>
      </w:pPr>
      <w:r>
        <w:rPr>
          <w:rFonts w:ascii="Aptos Display" w:cs="Aptos Display" w:eastAsia="Aptos Display" w:hAnsi="Aptos Display"/>
          <w:b/>
          <w:bCs/>
          <w:color w:val="1B2A4A"/>
          <w:sz w:val="32"/>
          <w:szCs w:val="32"/>
        </w:rPr>
        <w:t xml:space="preserve">6.  Próximo passo</w:t>
      </w:r>
    </w:p>
    <w:p>
      <w:pPr>
        <w:spacing w:after="14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Apresentamos esta análise ao vivo, em 45 minutos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B2B2B"/>
          <w:sz w:val="22"/>
          <w:szCs w:val="22"/>
        </w:rPr>
        <w:t xml:space="preserve">— para ouvir suas reações, corrigir o que erramos de fora e mostrar o que a avaliação profunda revelaria no seu caso específico.</w:t>
      </w:r>
    </w:p>
    <w:p>
      <w:pPr>
        <w:spacing w:after="30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Contato: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{{NOME_DO_SÓCIO}} · {{nome}}@abbaservices.com.br</w:t>
      </w:r>
    </w:p>
    <w:p>
      <w:pPr>
        <w:spacing w:before="200"/>
      </w:pPr>
      <w:r>
        <w:rPr>
          <w:rFonts w:ascii="Aptos" w:cs="Aptos" w:eastAsia="Aptos" w:hAnsi="Aptos"/>
          <w:i/>
          <w:iCs/>
          <w:color w:val="5A6472"/>
          <w:sz w:val="18"/>
          <w:szCs w:val="18"/>
        </w:rPr>
        <w:t xml:space="preserve">ABBA · Confidencial · Este documento foi elaborado exclusivamente com informação pública e não constitui consultoria formal. Válido como base de conversa por 60 dias.</w:t>
      </w:r>
    </w:p>
    <w:sectPr>
      <w:headerReference w:type="default" r:id="rId7"/>
      <w:footerReference w:type="default" r:id="rId8"/>
      <w:pgSz w:w="11906" w:h="16838" w:orient="portrait"/>
      <w:pgMar w:top="1250" w:right="1250" w:bottom="11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50"/>
      </w:tabs>
    </w:pPr>
    <w:r>
      <w:rPr>
        <w:rFonts w:ascii="Aptos" w:cs="Aptos" w:eastAsia="Aptos" w:hAnsi="Aptos"/>
        <w:color w:val="5A6472"/>
        <w:sz w:val="18"/>
        <w:szCs w:val="18"/>
      </w:rPr>
      <w:t xml:space="preserve">ABBA · Consultoria de IA</w:t>
    </w:r>
    <w:r>
      <w:rPr>
        <w:rFonts w:ascii="Aptos" w:cs="Aptos" w:eastAsia="Aptos" w:hAnsi="Aptos"/>
        <w:color w:val="C2A35B"/>
        <w:sz w:val="18"/>
        <w:szCs w:val="18"/>
      </w:rPr>
      <w:t xml:space="preserve">	abbaservices.com.br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ptos" w:cs="Aptos" w:eastAsia="Aptos" w:hAnsi="Aptos"/>
        <w:color w:val="5A6472"/>
        <w:sz w:val="18"/>
        <w:szCs w:val="18"/>
      </w:rPr>
      <w:t xml:space="preserve">Confidencial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2026-07-23T11:50:07.704Z</dcterms:created>
  <dcterms:modified xsi:type="dcterms:W3CDTF">2026-07-23T11:50:07.704Z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