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</w:pPr>
      <w:r>
        <w:rPr>
          <w:rFonts w:ascii="Aptos Display" w:cs="Aptos Display" w:eastAsia="Aptos Display" w:hAnsi="Aptos Display"/>
          <w:b/>
          <w:bCs/>
          <w:color w:val="1B2A4A"/>
          <w:sz w:val="88"/>
          <w:szCs w:val="88"/>
        </w:rPr>
        <w:t xml:space="preserve">ABBA</w:t>
      </w:r>
    </w:p>
    <w:p>
      <w:pPr>
        <w:spacing w:after="700"/>
      </w:pPr>
      <w:r>
        <w:rPr>
          <w:rFonts w:ascii="Aptos" w:cs="Aptos" w:eastAsia="Aptos" w:hAnsi="Aptos"/>
          <w:color w:val="C2A35B"/>
          <w:sz w:val="26"/>
          <w:szCs w:val="26"/>
        </w:rPr>
        <w:t xml:space="preserve">Consultoria de IA</w:t>
      </w:r>
    </w:p>
    <w:p>
      <w:pPr>
        <w:spacing w:after="120"/>
      </w:pPr>
      <w:r>
        <w:rPr>
          <w:rFonts w:ascii="Aptos Display" w:cs="Aptos Display" w:eastAsia="Aptos Display" w:hAnsi="Aptos Display"/>
          <w:b/>
          <w:bCs/>
          <w:color w:val="1B2A4A"/>
          <w:sz w:val="56"/>
          <w:szCs w:val="56"/>
        </w:rPr>
        <w:t xml:space="preserve">Análise ABBA</w:t>
      </w:r>
    </w:p>
    <w:p>
      <w:pPr>
        <w:spacing w:after="500"/>
      </w:pPr>
      <w:r>
        <w:rPr>
          <w:rFonts w:ascii="Aptos Display" w:cs="Aptos Display" w:eastAsia="Aptos Display" w:hAnsi="Aptos Display"/>
          <w:color w:val="5A6472"/>
          <w:sz w:val="40"/>
          <w:szCs w:val="40"/>
        </w:rPr>
        <w:t xml:space="preserve">{{NOME_DA_EMPRESA}}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Preparado para: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{{NOME_CONTATO}}, {{CARGO}}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Data: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{{DATA}}   |   Ref: ABBA-{{ANO}}-{{NUM}}</w:t>
      </w:r>
    </w:p>
    <w:p>
      <w:pPr>
        <w:spacing w:after="0" w:before="200"/>
      </w:pPr>
      <w:r>
        <w:rPr>
          <w:rFonts w:ascii="Aptos" w:cs="Aptos" w:eastAsia="Aptos" w:hAnsi="Aptos"/>
          <w:b w:val="false"/>
          <w:bCs w:val="false"/>
          <w:i/>
          <w:iCs/>
          <w:color w:val="5A6472"/>
          <w:sz w:val="22"/>
          <w:szCs w:val="22"/>
        </w:rPr>
        <w:t xml:space="preserve">Uma amostra gratuita do método ABBA, elaborada exclusivamente com informação pública.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B2A4A"/>
          <w:sz w:val="32"/>
        </w:rPr>
        <w:t>1.  O Mapa de Vazamento</w:t>
      </w:r>
    </w:p>
    <w:p>
      <w:pPr/>
      <w:r>
        <w:rPr>
          <w:rFonts w:ascii="Aptos" w:hAnsi="Aptos"/>
          <w:b w:val="0"/>
          <w:color w:val="2B2B2B"/>
          <w:sz w:val="22"/>
        </w:rPr>
        <w:t>Onde estimamos que o dinheiro está saindo da {{NOME_DA_EMPRESA}} sem precisar sair.</w:t>
      </w:r>
    </w:p>
    <w:p>
      <w:pPr/>
      <w:r>
        <w:rPr>
          <w:rFonts w:ascii="Aptos Display" w:hAnsi="Aptos Display"/>
          <w:b/>
          <w:color w:val="C2A35B"/>
          <w:sz w:val="52"/>
        </w:rPr>
        <w:t>{{FAIXA_ESTIMADA_EM_R$}}</w:t>
      </w:r>
    </w:p>
    <w:p>
      <w:pPr/>
      <w:r>
        <w:rPr>
          <w:rFonts w:ascii="Aptos" w:hAnsi="Aptos"/>
          <w:b w:val="0"/>
          <w:color w:val="5A6472"/>
          <w:sz w:val="22"/>
        </w:rPr>
        <w:t>por ano, em ordem de grandeza — {{VETOR_PRINCIPAL: ex. retrabalho no fechamento fiscal · juros e tarifas evitáveis · perdas em conciliação}}</w:t>
      </w:r>
    </w:p>
    <w:p>
      <w:pPr/>
      <w:r>
        <w:rPr>
          <w:rFonts w:ascii="Aptos" w:hAnsi="Aptos"/>
          <w:b/>
          <w:color w:val="1B2A4A"/>
          <w:sz w:val="22"/>
        </w:rPr>
        <w:t xml:space="preserve">Como chegamos a esse número: </w:t>
      </w:r>
      <w:r>
        <w:rPr>
          <w:rFonts w:ascii="Aptos" w:hAnsi="Aptos"/>
          <w:b w:val="0"/>
          <w:color w:val="2B2B2B"/>
          <w:sz w:val="22"/>
        </w:rPr>
        <w:t>{{PREMISSA_1 — base pública citada}} · {{PREMISSA_2 — referência de mercado citada}} · {{PREMISSA_3 — o que assumimos e ainda não sabemos}}</w:t>
      </w:r>
    </w:p>
    <w:p>
      <w:pPr/>
      <w:r>
        <w:rPr>
          <w:rFonts w:ascii="Aptos" w:hAnsi="Aptos"/>
          <w:b/>
          <w:color w:val="1B2A4A"/>
          <w:sz w:val="22"/>
        </w:rPr>
        <w:t xml:space="preserve">É uma faixa, não um número. </w:t>
      </w:r>
      <w:r>
        <w:rPr>
          <w:rFonts w:ascii="Aptos" w:hAnsi="Aptos"/>
          <w:b w:val="0"/>
          <w:color w:val="2B2B2B"/>
          <w:sz w:val="22"/>
        </w:rPr>
        <w:t>Foi calculada de fora, com premissas explícitas acima. Uma única resposta sua pode movê-la para cima ou para baixo — e é exatamente por isso que a seção 5 existe.</w:t>
      </w:r>
    </w:p>
    <w:p>
      <w:pPr/>
      <w:r>
        <w:rPr>
          <w:rFonts w:ascii="Aptos" w:hAnsi="Aptos"/>
          <w:b w:val="0"/>
          <w:color w:val="2B2B2B"/>
          <w:sz w:val="22"/>
        </w:rPr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2"/>
          <w:szCs w:val="32"/>
        </w:rPr>
        <w:t>2.  O que é esta análise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Esta é a Análise ABBA: uma leitura estruturada da {{NOME_DA_EMPRESA}} feita com o nosso método e as nossas ferramentas — usando apenas informação pública (site, notícias, vagas abertas, dados setoriais). É de graça, e é uma amostra honesta do que fazemos.</w:t>
      </w:r>
    </w:p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O limite honesto: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>isto foi feito de fora. As hipóteses abaixo são exatamente isso — hipóteses. A avaliação profunda (seção 6) entrevista do conselho à linha de frente e transforma hipóteses em um plano quantificado. Se acertamos alguma coisa aqui de fora, imagine com os dados de dentro.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2"/>
          <w:szCs w:val="32"/>
        </w:rPr>
        <w:t>3.  O que observamos sobre a {{NOME_DA_EMPRESA}}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{{2–3 PARÁGRAFOS: contexto da empresa, momento do setor, sinais observados — concorrência adotando IA, gargalos evidentes, movimentos recentes}}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50"/>
      </w:tblGrid>
      <w:tr>
        <w:trPr>
          <w:tblHeader/>
        </w:trPr>
        <w:tc>
          <w:tcPr>
            <w:tcW w:type="dxa" w:w="4300"/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Sinal observado</w:t>
            </w:r>
          </w:p>
        </w:tc>
        <w:tc>
          <w:tcPr>
            <w:tcW w:type="dxa" w:w="5050"/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 que pode indicar</w:t>
            </w:r>
          </w:p>
        </w:tc>
      </w:tr>
      <w:tr>
        <w:tc>
          <w:tcPr>
            <w:tcW w:type="dxa" w:w="4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{{SINAL_1 — ex.: vagas abertas repetidas na área X}}</w:t>
            </w:r>
          </w:p>
        </w:tc>
        <w:tc>
          <w:tcPr>
            <w:tcW w:type="dxa" w:w="505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{{LEITURA_1 — ex.: gargalo operacional crônico}}</w:t>
            </w:r>
          </w:p>
        </w:tc>
      </w:tr>
      <w:tr>
        <w:tc>
          <w:tcPr>
            <w:tcW w:type="dxa" w:w="4300"/>
            <w:shd w:fill="F4F6F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{{SINAL_2}}</w:t>
            </w:r>
          </w:p>
        </w:tc>
        <w:tc>
          <w:tcPr>
            <w:tcW w:type="dxa" w:w="5050"/>
            <w:shd w:fill="F4F6F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{{LEITURA_2}}</w:t>
            </w:r>
          </w:p>
        </w:tc>
      </w:tr>
      <w:tr>
        <w:tc>
          <w:tcPr>
            <w:tcW w:type="dxa" w:w="4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{{SINAL_3}}</w:t>
            </w:r>
          </w:p>
        </w:tc>
        <w:tc>
          <w:tcPr>
            <w:tcW w:type="dxa" w:w="505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{{LEITURA_3}}</w:t>
            </w:r>
          </w:p>
        </w:tc>
      </w:tr>
    </w:tbl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2"/>
          <w:szCs w:val="32"/>
        </w:rPr>
        <w:t>4.  Três hipóteses de oportunidade de IA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Ranqueadas por potencial estimado. Para cada uma: por que acreditamos nela, o impacto se confirmada, e o que verificaríamos primeiro.</w:t>
      </w:r>
    </w:p>
    <w:p>
      <w:pPr>
        <w:spacing w:after="120" w:before="260"/>
      </w:pPr>
      <w:r>
        <w:rPr>
          <w:rFonts w:ascii="Aptos Display" w:cs="Aptos Display" w:eastAsia="Aptos Display" w:hAnsi="Aptos Display"/>
          <w:b/>
          <w:bCs/>
          <w:color w:val="C2A35B"/>
          <w:sz w:val="26"/>
          <w:szCs w:val="26"/>
        </w:rPr>
        <w:t xml:space="preserve">Hipótese 1 — </w:t>
      </w:r>
      <w:r>
        <w:rPr>
          <w:rFonts w:ascii="Aptos Display" w:cs="Aptos Display" w:eastAsia="Aptos Display" w:hAnsi="Aptos Display"/>
          <w:b/>
          <w:bCs/>
          <w:color w:val="1B2A4A"/>
          <w:sz w:val="26"/>
          <w:szCs w:val="26"/>
        </w:rPr>
        <w:t xml:space="preserve">{{TÍTULO_CURTO_DA_OPORTUNIDADE}}</w:t>
      </w:r>
    </w:p>
    <w:p>
      <w:pPr>
        <w:spacing w:after="9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O que observamos: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{{EVIDÊNCIA_PÚBLICA}}</w:t>
      </w:r>
    </w:p>
    <w:p>
      <w:pPr>
        <w:spacing w:after="9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A oportunidade: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{{O QUE UM AGENTE DE IA FARIA — processo, decisão ou análise}}</w:t>
      </w:r>
    </w:p>
    <w:p>
      <w:pPr>
        <w:spacing w:after="9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Impacto potencial: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{{ORDEM DE GRANDEZA — horas/semana, custo evitado, receita destravada}}</w:t>
      </w:r>
    </w:p>
    <w:p>
      <w:pPr>
        <w:spacing w:after="9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O que confirmaríamos primeiro: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{{PERGUNTA-CHAVE que a avaliação profunda responderia}}</w:t>
      </w:r>
    </w:p>
    <w:p>
      <w:pPr>
        <w:spacing w:after="120" w:before="260"/>
      </w:pPr>
      <w:r>
        <w:rPr>
          <w:rFonts w:ascii="Aptos Display" w:cs="Aptos Display" w:eastAsia="Aptos Display" w:hAnsi="Aptos Display"/>
          <w:b/>
          <w:bCs/>
          <w:color w:val="C2A35B"/>
          <w:sz w:val="26"/>
          <w:szCs w:val="26"/>
        </w:rPr>
        <w:t xml:space="preserve">Hipótese 2 — </w:t>
      </w:r>
      <w:r>
        <w:rPr>
          <w:rFonts w:ascii="Aptos Display" w:cs="Aptos Display" w:eastAsia="Aptos Display" w:hAnsi="Aptos Display"/>
          <w:b/>
          <w:bCs/>
          <w:color w:val="1B2A4A"/>
          <w:sz w:val="26"/>
          <w:szCs w:val="26"/>
        </w:rPr>
        <w:t xml:space="preserve">{{TÍTULO_CURTO_DA_OPORTUNIDADE}}</w:t>
      </w:r>
    </w:p>
    <w:p>
      <w:pPr>
        <w:spacing w:after="9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O que observamos: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{{...}}</w:t>
      </w:r>
    </w:p>
    <w:p>
      <w:pPr>
        <w:spacing w:after="9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A oportunidade: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{{...}}</w:t>
      </w:r>
    </w:p>
    <w:p>
      <w:pPr>
        <w:spacing w:after="9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Impacto potencial: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{{...}}</w:t>
      </w:r>
    </w:p>
    <w:p>
      <w:pPr>
        <w:spacing w:after="9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O que confirmaríamos primeiro: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{{...}}</w:t>
      </w:r>
    </w:p>
    <w:p>
      <w:pPr>
        <w:spacing w:after="120" w:before="260"/>
      </w:pPr>
      <w:r>
        <w:rPr>
          <w:rFonts w:ascii="Aptos Display" w:cs="Aptos Display" w:eastAsia="Aptos Display" w:hAnsi="Aptos Display"/>
          <w:b/>
          <w:bCs/>
          <w:color w:val="C2A35B"/>
          <w:sz w:val="26"/>
          <w:szCs w:val="26"/>
        </w:rPr>
        <w:t xml:space="preserve">Hipótese 3 — </w:t>
      </w:r>
      <w:r>
        <w:rPr>
          <w:rFonts w:ascii="Aptos Display" w:cs="Aptos Display" w:eastAsia="Aptos Display" w:hAnsi="Aptos Display"/>
          <w:b/>
          <w:bCs/>
          <w:color w:val="1B2A4A"/>
          <w:sz w:val="26"/>
          <w:szCs w:val="26"/>
        </w:rPr>
        <w:t xml:space="preserve">{{TÍTULO_CURTO_DA_OPORTUNIDADE}}</w:t>
      </w:r>
    </w:p>
    <w:p>
      <w:pPr>
        <w:spacing w:after="9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O que observamos: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{{...}}</w:t>
      </w:r>
    </w:p>
    <w:p>
      <w:pPr>
        <w:spacing w:after="9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A oportunidade: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{{...}}</w:t>
      </w:r>
    </w:p>
    <w:p>
      <w:pPr>
        <w:spacing w:after="9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Impacto potencial: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{{...}}</w:t>
      </w:r>
    </w:p>
    <w:p>
      <w:pPr>
        <w:spacing w:after="9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O que confirmaríamos primeiro: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{{...}}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2"/>
          <w:szCs w:val="32"/>
        </w:rPr>
        <w:t>5.  As perguntas que faríamos à sua diretoria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As respostas mudam o ranking acima — e só existem dentro da empresa: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{{PERGUNTA_1 — ligada à hipótese 1}}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{{PERGUNTA_2 — ligada à hipótese 2}}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{{PERGUNTA_3 — ligada à hipótese 3}}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{{PERGUNTA_4 — sobre objetivo estratégico da diretoria}}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{{PERGUNTA_5 — sobre dados/sistemas}}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2"/>
          <w:szCs w:val="32"/>
        </w:rPr>
        <w:t>6.  O que a avaliação profunda revelaria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 Análise ABBA olha de fora. A Avaliação de Prontidão para IA olha de dentro — a empresa inteira, em 25 dimensões proprietárias: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50"/>
      </w:tblGrid>
      <w:tr>
        <w:trPr>
          <w:tblHeader/>
        </w:trPr>
        <w:tc>
          <w:tcPr>
            <w:tcW w:type="dxa" w:w="4300"/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Esta análise (gratuita)</w:t>
            </w:r>
          </w:p>
        </w:tc>
        <w:tc>
          <w:tcPr>
            <w:tcW w:type="dxa" w:w="5050"/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Avaliação profunda (2 semanas)</w:t>
            </w:r>
          </w:p>
        </w:tc>
      </w:tr>
      <w:tr>
        <w:tc>
          <w:tcPr>
            <w:tcW w:type="dxa" w:w="4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Informação pública</w:t>
            </w:r>
          </w:p>
        </w:tc>
        <w:tc>
          <w:tcPr>
            <w:tcW w:type="dxa" w:w="505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Entrevistas do conselho à linha de frente + documentos internos</w:t>
            </w:r>
          </w:p>
        </w:tc>
      </w:tr>
      <w:tr>
        <w:tc>
          <w:tcPr>
            <w:tcW w:type="dxa" w:w="4300"/>
            <w:shd w:fill="F4F6F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3 hipóteses qualitativas</w:t>
            </w:r>
          </w:p>
        </w:tc>
        <w:tc>
          <w:tcPr>
            <w:tcW w:type="dxa" w:w="5050"/>
            <w:shd w:fill="F4F6F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Portfólio ranqueado de oportunidades, com impacto financeiro estimado por item</w:t>
            </w:r>
          </w:p>
        </w:tc>
      </w:tr>
      <w:tr>
        <w:tc>
          <w:tcPr>
            <w:tcW w:type="dxa" w:w="4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Leitura de sinais</w:t>
            </w:r>
          </w:p>
        </w:tc>
        <w:tc>
          <w:tcPr>
            <w:tcW w:type="dxa" w:w="505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Pontuação de prontidão em 25 dimensões + lacunas de governança</w:t>
            </w:r>
          </w:p>
        </w:tc>
      </w:tr>
      <w:tr>
        <w:tc>
          <w:tcPr>
            <w:tcW w:type="dxa" w:w="4300"/>
            <w:shd w:fill="F4F6F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Perguntas</w:t>
            </w:r>
          </w:p>
        </w:tc>
        <w:tc>
          <w:tcPr>
            <w:tcW w:type="dxa" w:w="5050"/>
            <w:shd w:fill="F4F6F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Respostas — e um caminho recomendado de até 3 agentes de IA, com justificativa</w:t>
            </w:r>
          </w:p>
        </w:tc>
      </w:tr>
    </w:tbl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2"/>
          <w:szCs w:val="32"/>
        </w:rPr>
        <w:t>7.  Próximo passo</w:t>
      </w:r>
    </w:p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Apresentamos esta análise ao vivo, em 45 minutos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— para ouvir suas reações, corrigir o que erramos de fora e mostrar o que a avaliação profunda revelaria no seu caso específico.</w:t>
      </w:r>
    </w:p>
    <w:p>
      <w:pPr>
        <w:spacing w:after="30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Contato: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{{NOME_DO_SÓCIO}} · {{nome}}@abbaservices.com.br</w:t>
      </w:r>
    </w:p>
    <w:p>
      <w:pPr>
        <w:spacing w:before="200"/>
      </w:pPr>
      <w:r>
        <w:rPr>
          <w:rFonts w:ascii="Aptos" w:cs="Aptos" w:eastAsia="Aptos" w:hAnsi="Aptos"/>
          <w:i/>
          <w:iCs/>
          <w:color w:val="5A6472"/>
          <w:sz w:val="18"/>
          <w:szCs w:val="18"/>
        </w:rPr>
        <w:t xml:space="preserve">ABBA · Confidencial · Este documento foi elaborado exclusivamente com informação pública e não constitui consultoria formal. Válido como base de conversa por 60 dias.</w:t>
      </w:r>
    </w:p>
    <w:sectPr>
      <w:headerReference w:type="default" r:id="rId7"/>
      <w:footerReference w:type="default" r:id="rId8"/>
      <w:pgSz w:w="11906" w:h="16838" w:orient="portrait"/>
      <w:pgMar w:top="125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Aptos" w:cs="Aptos" w:eastAsia="Aptos" w:hAnsi="Aptos"/>
        <w:color w:val="5A6472"/>
        <w:sz w:val="18"/>
        <w:szCs w:val="18"/>
      </w:rPr>
      <w:t xml:space="preserve">ABBA · Consultoria de IA</w:t>
    </w:r>
    <w:r>
      <w:rPr>
        <w:rFonts w:ascii="Aptos" w:cs="Aptos" w:eastAsia="Aptos" w:hAnsi="Aptos"/>
        <w:color w:val="C2A35B"/>
        <w:sz w:val="18"/>
        <w:szCs w:val="18"/>
      </w:rPr>
      <w:t xml:space="preserve">	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A6472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2026-07-23T11:50:07.704Z</dcterms:created>
  <dcterms:modified xsi:type="dcterms:W3CDTF">2026-07-23T11:50:07.704Z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