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8"/>
          <w:szCs w:val="48"/>
        </w:rPr>
        <w:t xml:space="preserve">Mapa de Oportunidades de IA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Portfólio priorizado — o quê, por quê, quanto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Cliente: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{{NOME_DO_CLIENTE}}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Engajamento: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{{NOME_DO_PROJETO}}   |   Ref: ABBA-{{ANO}}-{{NUM}}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·   Responsável ABBA: {{SOCIO}}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Sumário executivo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Foram identificados {{N}} casos de uso prioritários, com investimento estimado de {{R$ X}} e retorno anual estimado de {{R$ Y}}. Este mapa é o insumo direto do Plano Diretor e da etapa de construção.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Matriz de priorização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50"/>
        <w:gridCol w:w="1500"/>
        <w:gridCol w:w="1200"/>
        <w:gridCol w:w="1000"/>
        <w:gridCol w:w="1400"/>
      </w:tblGrid>
      <w:tr>
        <w:trPr>
          <w:tblHeader/>
        </w:trPr>
        <w:tc>
          <w:tcPr>
            <w:tcW w:type="dxa" w:w="29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3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Viabilidade</w:t>
            </w:r>
          </w:p>
        </w:tc>
        <w:tc>
          <w:tcPr>
            <w:tcW w:type="dxa" w:w="12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0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3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{{meses}}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1ª</w:t>
            </w:r>
          </w:p>
        </w:tc>
      </w:tr>
      <w:tr>
        <w:tc>
          <w:tcPr>
            <w:tcW w:type="dxa" w:w="29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3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2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0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4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2ª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3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3ª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Detalhamento por caso de uso</w:t>
      </w:r>
    </w:p>
    <w:p>
      <w:pPr>
        <w:spacing w:after="120" w:before="240"/>
      </w:pPr>
      <w:r>
        <w:rPr>
          <w:rFonts w:ascii="Aptos Display" w:cs="Aptos Display" w:eastAsia="Aptos Display" w:hAnsi="Aptos Display"/>
          <w:b/>
          <w:bCs/>
          <w:color w:val="C2A35B"/>
          <w:sz w:val="24"/>
          <w:szCs w:val="24"/>
        </w:rPr>
        <w:t xml:space="preserve">Caso de uso 1 — {{NOME}}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 que é: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{{descrição do agente/solução}}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Benefício estimado: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{{R$/ano, horas/semana — com a conta aberta}}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Requisitos: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{{dados, integrações, decisões de governança}}</w:t>
      </w:r>
    </w:p>
    <w:p>
      <w:pPr>
        <w:spacing w:after="20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Ponto de aprovação humana: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{{onde o humano decide — obrigatório em todo agente ABBA}}</w:t>
      </w:r>
    </w:p>
    <w:p>
      <w:pPr>
        <w:spacing w:after="120" w:before="240"/>
      </w:pPr>
      <w:r>
        <w:rPr>
          <w:rFonts w:ascii="Aptos Display" w:cs="Aptos Display" w:eastAsia="Aptos Display" w:hAnsi="Aptos Display"/>
          <w:b/>
          <w:bCs/>
          <w:color w:val="C2A35B"/>
          <w:sz w:val="24"/>
          <w:szCs w:val="24"/>
        </w:rPr>
        <w:t xml:space="preserve">Caso de uso 2 — {{NOME}}</w:t>
      </w:r>
    </w:p>
    <w:p>
      <w:pPr>
        <w:spacing w:after="2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{{mesma estrutura}}</w:t>
      </w:r>
    </w:p>
    <w:p>
      <w:pPr>
        <w:spacing w:after="120" w:before="240"/>
      </w:pPr>
      <w:r>
        <w:rPr>
          <w:rFonts w:ascii="Aptos Display" w:cs="Aptos Display" w:eastAsia="Aptos Display" w:hAnsi="Aptos Display"/>
          <w:b/>
          <w:bCs/>
          <w:color w:val="C2A35B"/>
          <w:sz w:val="24"/>
          <w:szCs w:val="24"/>
        </w:rPr>
        <w:t xml:space="preserve">Caso de uso 3 — {{NOME}}</w:t>
      </w:r>
    </w:p>
    <w:p>
      <w:pPr>
        <w:spacing w:after="2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{{mesma estrutura}}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Estimativa de impacto consolidada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1450"/>
        <w:gridCol w:w="1600"/>
      </w:tblGrid>
      <w:tr>
        <w:trPr>
          <w:tblHeader/>
        </w:trPr>
        <w:tc>
          <w:tcPr>
            <w:tcW w:type="dxa" w:w="27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Benefício anual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14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Payback</w:t>
            </w:r>
          </w:p>
        </w:tc>
        <w:tc>
          <w:tcPr>
            <w:tcW w:type="dxa" w:w="16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R$ {{ 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R$ {{ }}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{{meses}}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{{%}}</w:t>
            </w:r>
          </w:p>
        </w:tc>
      </w:tr>
      <w:tr>
        <w:tc>
          <w:tcPr>
            <w:tcW w:type="dxa" w:w="27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R$ {{ }}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R$ {{ }}</w:t>
            </w:r>
          </w:p>
        </w:tc>
        <w:tc>
          <w:tcPr>
            <w:tcW w:type="dxa" w:w="14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6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/>
          <w:iCs/>
          <w:color w:val="5A6472"/>
          <w:sz w:val="22"/>
          <w:szCs w:val="22"/>
        </w:rPr>
        <w:t xml:space="preserve">Toda estimativa tem origem rastreável — os números vêm dos seus dados e das suas entrevistas, não de benchmark genérico.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Sequenciamento recomendado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{{Ondas de implementação com dependências — Wave 1 / Wave 2 — e o porquê da ordem}}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 decisão final de sequenciamento é da diretoria, na sessão de alinhamento.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2026-07-23T13:08:03.676Z</dcterms:created>
  <dcterms:modified xsi:type="dcterms:W3CDTF">2026-07-23T13:08:03.676Z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