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0"/>
      </w:pPr>
      <w:r>
        <w:rPr>
          <w:rFonts w:ascii="Aptos Display" w:cs="Aptos Display" w:eastAsia="Aptos Display" w:hAnsi="Aptos Display"/>
          <w:b/>
          <w:bCs/>
          <w:color w:val="1B2A4A"/>
          <w:sz w:val="72"/>
          <w:szCs w:val="72"/>
        </w:rPr>
        <w:t xml:space="preserve">ABBA</w:t>
      </w:r>
    </w:p>
    <w:p>
      <w:pPr>
        <w:spacing w:after="600"/>
      </w:pPr>
      <w:r>
        <w:rPr>
          <w:rFonts w:ascii="Aptos" w:cs="Aptos" w:eastAsia="Aptos" w:hAnsi="Aptos"/>
          <w:color w:val="C2A35B"/>
          <w:sz w:val="24"/>
          <w:szCs w:val="24"/>
        </w:rPr>
        <w:t xml:space="preserve">Consultoria de IA</w:t>
      </w:r>
    </w:p>
    <w:p>
      <w:pPr>
        <w:spacing w:after="100"/>
      </w:pPr>
      <w:r>
        <w:rPr>
          <w:rFonts w:ascii="Aptos Display" w:cs="Aptos Display" w:eastAsia="Aptos Display" w:hAnsi="Aptos Display"/>
          <w:b/>
          <w:bCs/>
          <w:color w:val="1B2A4A"/>
          <w:sz w:val="48"/>
          <w:szCs w:val="48"/>
        </w:rPr>
        <w:t xml:space="preserve">Plano de Capacitação em IA</w:t>
      </w:r>
    </w:p>
    <w:p>
      <w:pPr>
        <w:spacing w:after="420"/>
      </w:pPr>
      <w:r>
        <w:rPr>
          <w:rFonts w:ascii="Aptos" w:cs="Aptos" w:eastAsia="Aptos" w:hAnsi="Aptos"/>
          <w:color w:val="5A6472"/>
          <w:sz w:val="26"/>
          <w:szCs w:val="26"/>
        </w:rPr>
        <w:t xml:space="preserve">Transformação híbrida — plataforma + presencial, todos os níveis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Cliente: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{{NOME_DO_CLIENTE}}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Engajamento: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{{NOME_DO_PROJETO}}   |   Ref: ABBA-{{ANO}}-{{NUM}}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Data: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{{DATA}}   ·   Responsável ABBA: {{SOCIO}}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1.  Contexto e objetivo</w:t>
      </w:r>
    </w:p>
    <w:p>
      <w:pPr>
        <w:spacing w:after="8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Objetivo declarado pela diretoria para a equipe: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{{do kickoff}}</w:t>
      </w:r>
    </w:p>
    <w:p>
      <w:pPr>
        <w:spacing w:after="8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Participantes: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{{N}} — executivos {{ }}, gestores {{ }}, operacionais {{ }}</w:t>
      </w:r>
    </w:p>
    <w:p>
      <w:pPr>
        <w:spacing w:after="14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Agentes implantados relacionados: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{{a capacitação sempre conecta com os agentes reais do cliente}}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2.  A espinha pedagógica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Todo o programa conduz cada colaborador pelas três perguntas: o que posso PARAR de fazer (a IA agora faz)? O que posso COMEÇAR a fazer (a IA agora permite)? O que AINDA preciso fazer (o essencialmente humano)? A Bússola registra as respostas do primeiro dia à graduação — e mede a mudança real de comportamento.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3.  Progressão na plataforma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650"/>
        <w:gridCol w:w="1900"/>
      </w:tblGrid>
      <w:tr>
        <w:trPr>
          <w:tblHeader/>
        </w:trPr>
        <w:tc>
          <w:tcPr>
            <w:tcW w:type="dxa" w:w="19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9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  <w:tc>
          <w:tcPr>
            <w:tcW w:type="dxa" w:w="265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Desbloqueia</w:t>
            </w:r>
          </w:p>
        </w:tc>
        <w:tc>
          <w:tcPr>
            <w:tcW w:type="dxa" w:w="19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Meta por papel</w:t>
            </w:r>
          </w:p>
        </w:tc>
      </w:tr>
      <w:tr>
        <w:tc>
          <w:tcPr>
            <w:tcW w:type="dxa" w:w="19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1 — Fundamentos</w:t>
            </w:r>
          </w:p>
        </w:tc>
        <w:tc>
          <w:tcPr>
            <w:tcW w:type="dxa" w:w="29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O que a IA é e onde se aplica ao trabalho</w:t>
            </w:r>
          </w:p>
        </w:tc>
        <w:tc>
          <w:tcPr>
            <w:tcW w:type="dxa" w:w="26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Primeiras ferramentas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{{todos}}</w:t>
            </w:r>
          </w:p>
        </w:tc>
      </w:tr>
      <w:tr>
        <w:tc>
          <w:tcPr>
            <w:tcW w:type="dxa" w:w="19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2 — Aplicação</w:t>
            </w:r>
          </w:p>
        </w:tc>
        <w:tc>
          <w:tcPr>
            <w:tcW w:type="dxa" w:w="29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IA nas tarefas reais da função</w:t>
            </w:r>
          </w:p>
        </w:tc>
        <w:tc>
          <w:tcPr>
            <w:tcW w:type="dxa" w:w="265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Ferramentas por área</w:t>
            </w:r>
          </w:p>
        </w:tc>
        <w:tc>
          <w:tcPr>
            <w:tcW w:type="dxa" w:w="19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{{gestores+operacionais}}</w:t>
            </w:r>
          </w:p>
        </w:tc>
      </w:tr>
      <w:tr>
        <w:tc>
          <w:tcPr>
            <w:tcW w:type="dxa" w:w="19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3 — Autonomia</w:t>
            </w:r>
          </w:p>
        </w:tc>
        <w:tc>
          <w:tcPr>
            <w:tcW w:type="dxa" w:w="29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Construir e ajustar fluxos com IA</w:t>
            </w:r>
          </w:p>
        </w:tc>
        <w:tc>
          <w:tcPr>
            <w:tcW w:type="dxa" w:w="26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Ferramentas avançadas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{{candidatos a campeão}}</w:t>
            </w:r>
          </w:p>
        </w:tc>
      </w:tr>
      <w:tr>
        <w:tc>
          <w:tcPr>
            <w:tcW w:type="dxa" w:w="19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4 — Multiplicação</w:t>
            </w:r>
          </w:p>
        </w:tc>
        <w:tc>
          <w:tcPr>
            <w:tcW w:type="dxa" w:w="29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Referência interna em IA</w:t>
            </w:r>
          </w:p>
        </w:tc>
        <w:tc>
          <w:tcPr>
            <w:tcW w:type="dxa" w:w="265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Criação de agentes (CrewAI) + papel de multiplicador</w:t>
            </w:r>
          </w:p>
        </w:tc>
        <w:tc>
          <w:tcPr>
            <w:tcW w:type="dxa" w:w="19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{{campeões}}</w:t>
            </w:r>
          </w:p>
        </w:tc>
      </w:tr>
    </w:tbl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4.  Sessões presenciais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300"/>
        <w:gridCol w:w="4450"/>
      </w:tblGrid>
      <w:tr>
        <w:trPr>
          <w:tblHeader/>
        </w:trPr>
        <w:tc>
          <w:tcPr>
            <w:tcW w:type="dxa" w:w="21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Sessão</w:t>
            </w:r>
          </w:p>
        </w:tc>
        <w:tc>
          <w:tcPr>
            <w:tcW w:type="dxa" w:w="15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13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Duração</w:t>
            </w:r>
          </w:p>
        </w:tc>
        <w:tc>
          <w:tcPr>
            <w:tcW w:type="dxa" w:w="445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1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Kickoff Academy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semana {{ }}</w:t>
            </w:r>
          </w:p>
        </w:tc>
        <w:tc>
          <w:tcPr>
            <w:tcW w:type="dxa" w:w="13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meio dia</w:t>
            </w:r>
          </w:p>
        </w:tc>
        <w:tc>
          <w:tcPr>
            <w:tcW w:type="dxa" w:w="44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Kit do facilitador: demonstração ao vivo, primeira vitória de cada participante, Bússola em papel</w:t>
            </w:r>
          </w:p>
        </w:tc>
      </w:tr>
      <w:tr>
        <w:tc>
          <w:tcPr>
            <w:tcW w:type="dxa" w:w="21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Workshop de marco</w:t>
            </w:r>
          </w:p>
        </w:tc>
        <w:tc>
          <w:tcPr>
            <w:tcW w:type="dxa" w:w="15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semana {{ }}</w:t>
            </w:r>
          </w:p>
        </w:tc>
        <w:tc>
          <w:tcPr>
            <w:tcW w:type="dxa" w:w="13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3h</w:t>
            </w:r>
          </w:p>
        </w:tc>
        <w:tc>
          <w:tcPr>
            <w:tcW w:type="dxa" w:w="445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{{mão na massa com os agentes implantados}}</w:t>
            </w:r>
          </w:p>
        </w:tc>
      </w:tr>
      <w:tr>
        <w:tc>
          <w:tcPr>
            <w:tcW w:type="dxa" w:w="21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Encerramento / graduação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semana {{ }}</w:t>
            </w:r>
          </w:p>
        </w:tc>
        <w:tc>
          <w:tcPr>
            <w:tcW w:type="dxa" w:w="13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2h</w:t>
            </w:r>
          </w:p>
        </w:tc>
        <w:tc>
          <w:tcPr>
            <w:tcW w:type="dxa" w:w="44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Campeões apresentam · certificados · roadmap co-escrito</w:t>
            </w:r>
          </w:p>
        </w:tc>
      </w:tr>
    </w:tbl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5.  Cadência e responsabilidades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Nudges de progresso {{2×}}/semana no canal do cliente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Revisão semanal de adoção pela ABBA; intervenção em área travada (&lt;{{X}}% ativos por 2 semanas)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Mensagem mensal de reforço do patrocinador (fornecemos o rascunho)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Relatório quinzenal de adoção ao patrocinador (1 página)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6.  Critérios de sucesso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300"/>
        <w:gridCol w:w="2850"/>
      </w:tblGrid>
      <w:tr>
        <w:trPr>
          <w:tblHeader/>
        </w:trPr>
        <w:tc>
          <w:tcPr>
            <w:tcW w:type="dxa" w:w="42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23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Baseline</w:t>
            </w:r>
          </w:p>
        </w:tc>
        <w:tc>
          <w:tcPr>
            <w:tcW w:type="dxa" w:w="285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</w:tr>
      <w:tr>
        <w:tc>
          <w:tcPr>
            <w:tcW w:type="dxa" w:w="42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% participantes ativos/semana</w:t>
            </w:r>
          </w:p>
        </w:tc>
        <w:tc>
          <w:tcPr>
            <w:tcW w:type="dxa" w:w="23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—</w:t>
            </w:r>
          </w:p>
        </w:tc>
        <w:tc>
          <w:tcPr>
            <w:tcW w:type="dxa" w:w="28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 }}%</w:t>
            </w:r>
          </w:p>
        </w:tc>
      </w:tr>
      <w:tr>
        <w:tc>
          <w:tcPr>
            <w:tcW w:type="dxa" w:w="42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Horas reinvestidas por pessoa/semana</w:t>
            </w:r>
          </w:p>
        </w:tc>
        <w:tc>
          <w:tcPr>
            <w:tcW w:type="dxa" w:w="23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—</w:t>
            </w:r>
          </w:p>
        </w:tc>
        <w:tc>
          <w:tcPr>
            <w:tcW w:type="dxa" w:w="285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 }}</w:t>
            </w:r>
          </w:p>
        </w:tc>
      </w:tr>
      <w:tr>
        <w:tc>
          <w:tcPr>
            <w:tcW w:type="dxa" w:w="42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Conclusão da Fase 1 (Fundamentos)</w:t>
            </w:r>
          </w:p>
        </w:tc>
        <w:tc>
          <w:tcPr>
            <w:tcW w:type="dxa" w:w="23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—</w:t>
            </w:r>
          </w:p>
        </w:tc>
        <w:tc>
          <w:tcPr>
            <w:tcW w:type="dxa" w:w="28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 }}%</w:t>
            </w:r>
          </w:p>
        </w:tc>
      </w:tr>
      <w:tr>
        <w:tc>
          <w:tcPr>
            <w:tcW w:type="dxa" w:w="42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Campeões graduados</w:t>
            </w:r>
          </w:p>
        </w:tc>
        <w:tc>
          <w:tcPr>
            <w:tcW w:type="dxa" w:w="23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—</w:t>
            </w:r>
          </w:p>
        </w:tc>
        <w:tc>
          <w:tcPr>
            <w:tcW w:type="dxa" w:w="285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 }}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50"/>
      </w:tabs>
    </w:pPr>
    <w:r>
      <w:rPr>
        <w:rFonts w:ascii="Aptos" w:cs="Aptos" w:eastAsia="Aptos" w:hAnsi="Aptos"/>
        <w:color w:val="5A6472"/>
        <w:sz w:val="18"/>
        <w:szCs w:val="18"/>
      </w:rPr>
      <w:t xml:space="preserve">ABBA · Consultoria de IA</w:t>
    </w:r>
    <w:r>
      <w:rPr>
        <w:rFonts w:ascii="Aptos" w:cs="Aptos" w:eastAsia="Aptos" w:hAnsi="Aptos"/>
        <w:color w:val="C2A35B"/>
        <w:sz w:val="18"/>
        <w:szCs w:val="18"/>
      </w:rPr>
      <w:t xml:space="preserve">	abbaservices.com.br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color w:val="5A6472"/>
        <w:sz w:val="18"/>
        <w:szCs w:val="18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2026-07-23T13:08:04.326Z</dcterms:created>
  <dcterms:modified xsi:type="dcterms:W3CDTF">2026-07-23T13:08:04.326Z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