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rFonts w:ascii="Aptos Display" w:cs="Aptos Display" w:eastAsia="Aptos Display" w:hAnsi="Aptos Display"/>
          <w:b/>
          <w:bCs/>
          <w:color w:val="1B2A4A"/>
          <w:sz w:val="72"/>
          <w:szCs w:val="72"/>
        </w:rPr>
        <w:t xml:space="preserve">ABBA</w:t>
      </w:r>
    </w:p>
    <w:p>
      <w:pPr>
        <w:spacing w:after="600"/>
      </w:pPr>
      <w:r>
        <w:rPr>
          <w:rFonts w:ascii="Aptos" w:cs="Aptos" w:eastAsia="Aptos" w:hAnsi="Aptos"/>
          <w:color w:val="C2A35B"/>
          <w:sz w:val="24"/>
          <w:szCs w:val="24"/>
        </w:rPr>
        <w:t xml:space="preserve">Consultoria de IA</w:t>
      </w:r>
    </w:p>
    <w:p>
      <w:pPr>
        <w:spacing w:after="100"/>
      </w:pPr>
      <w:r>
        <w:rPr>
          <w:rFonts w:ascii="Aptos Display" w:cs="Aptos Display" w:eastAsia="Aptos Display" w:hAnsi="Aptos Display"/>
          <w:b/>
          <w:bCs/>
          <w:color w:val="1B2A4A"/>
          <w:sz w:val="48"/>
          <w:szCs w:val="48"/>
        </w:rPr>
        <w:t xml:space="preserve">Plano Diretor de IA</w:t>
      </w:r>
    </w:p>
    <w:p>
      <w:pPr>
        <w:spacing w:after="420"/>
      </w:pPr>
      <w:r>
        <w:rPr>
          <w:rFonts w:ascii="Aptos" w:cs="Aptos" w:eastAsia="Aptos" w:hAnsi="Aptos"/>
          <w:color w:val="5A6472"/>
          <w:sz w:val="26"/>
          <w:szCs w:val="26"/>
        </w:rPr>
        <w:t xml:space="preserve">Roadmap de {{6–12}} meses — fases, marcos, dependências e governança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Cliente: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{{NOME_DO_CLIENTE}}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Engajamento: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{{NOME_DO_PROJETO}}   |   Ref: ABBA-{{ANO}}-{{NUM}}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Data: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{{DATA}}   ·   Responsável ABBA: {{SOCIO}}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1.  Visão e objetivos</w:t>
      </w:r>
    </w:p>
    <w:p>
      <w:pPr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Objetivos declarados pela diretoria (kickoff):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{{transcrever — são o baseline de todo o plano}}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2.  Roadmap por fase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4000"/>
        <w:gridCol w:w="2150"/>
      </w:tblGrid>
      <w:tr>
        <w:trPr>
          <w:tblHeader/>
        </w:trPr>
        <w:tc>
          <w:tcPr>
            <w:tcW w:type="dxa" w:w="19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3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40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Entregas principais</w:t>
            </w:r>
          </w:p>
        </w:tc>
        <w:tc>
          <w:tcPr>
            <w:tcW w:type="dxa" w:w="21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Marco de conclusão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Fundação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{{M1–M2}}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{{governança, dados, quick wins}}</w:t>
            </w:r>
          </w:p>
        </w:tc>
        <w:tc>
          <w:tcPr>
            <w:tcW w:type="dxa" w:w="21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  <w:tr>
        <w:tc>
          <w:tcPr>
            <w:tcW w:type="dxa" w:w="19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Construção Wave 1</w:t>
            </w:r>
          </w:p>
        </w:tc>
        <w:tc>
          <w:tcPr>
            <w:tcW w:type="dxa" w:w="13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{{M2–M4}}</w:t>
            </w:r>
          </w:p>
        </w:tc>
        <w:tc>
          <w:tcPr>
            <w:tcW w:type="dxa" w:w="40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{{casos de uso 1–2 em produção}}</w:t>
            </w:r>
          </w:p>
        </w:tc>
        <w:tc>
          <w:tcPr>
            <w:tcW w:type="dxa" w:w="21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{{Termo de Aceite}}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Capacitação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{{M1–M6}}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{{trilhas + presencial, todos os níveis}}</w:t>
            </w:r>
          </w:p>
        </w:tc>
        <w:tc>
          <w:tcPr>
            <w:tcW w:type="dxa" w:w="21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{{% adoção}}</w:t>
            </w:r>
          </w:p>
        </w:tc>
      </w:tr>
      <w:tr>
        <w:tc>
          <w:tcPr>
            <w:tcW w:type="dxa" w:w="19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Expansão Wave 2</w:t>
            </w:r>
          </w:p>
        </w:tc>
        <w:tc>
          <w:tcPr>
            <w:tcW w:type="dxa" w:w="13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{{M5–M8}}</w:t>
            </w:r>
          </w:p>
        </w:tc>
        <w:tc>
          <w:tcPr>
            <w:tcW w:type="dxa" w:w="40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21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Operação contínua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{{M4+}}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{{manutenção sob SLA + ritual trimestral}}</w:t>
            </w:r>
          </w:p>
        </w:tc>
        <w:tc>
          <w:tcPr>
            <w:tcW w:type="dxa" w:w="21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3.  Dependências e pré-requisitos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{{dependência técnica — ex.: acesso a sistema X}}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{{dependência de dados}}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{{decisão de governança pendente}}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4.  Governança do plano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Reunião semanal de 30 min com o patrocinador · gate formal com Termo de Aceite ao fim de cada fase · ritual de alinhamento com a diretoria ao fim de cada etapa e trimestralmente: resultados contra os objetivos declarados → recomendações ABBA → decisão de vocês → registro.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5.  Investimento por fase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800"/>
        <w:gridCol w:w="3450"/>
      </w:tblGrid>
      <w:tr>
        <w:trPr>
          <w:tblHeader/>
        </w:trPr>
        <w:tc>
          <w:tcPr>
            <w:tcW w:type="dxa" w:w="31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34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R$ {{ }}</w:t>
            </w:r>
          </w:p>
        </w:tc>
        <w:tc>
          <w:tcPr>
            <w:tcW w:type="dxa" w:w="34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{{conforme proposta ABBA-{{ANO}}-{{NUM}}}}</w:t>
            </w:r>
          </w:p>
        </w:tc>
      </w:tr>
    </w:tbl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6.  Riscos do plano e mitigações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800"/>
        <w:gridCol w:w="3850"/>
      </w:tblGrid>
      <w:tr>
        <w:trPr>
          <w:tblHeader/>
        </w:trPr>
        <w:tc>
          <w:tcPr>
            <w:tcW w:type="dxa" w:w="37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38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38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  <w:tr>
        <w:tc>
          <w:tcPr>
            <w:tcW w:type="dxa" w:w="37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8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38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50"/>
      </w:tabs>
    </w:pPr>
    <w:r>
      <w:rPr>
        <w:rFonts w:ascii="Aptos" w:cs="Aptos" w:eastAsia="Aptos" w:hAnsi="Aptos"/>
        <w:color w:val="5A6472"/>
        <w:sz w:val="18"/>
        <w:szCs w:val="18"/>
      </w:rPr>
      <w:t xml:space="preserve">ABBA · Consultoria de IA</w:t>
    </w:r>
    <w:r>
      <w:rPr>
        <w:rFonts w:ascii="Aptos" w:cs="Aptos" w:eastAsia="Aptos" w:hAnsi="Aptos"/>
        <w:color w:val="C2A35B"/>
        <w:sz w:val="18"/>
        <w:szCs w:val="18"/>
      </w:rPr>
      <w:t xml:space="preserve">	abbaservices.com.br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5A6472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2026-07-23T13:08:03.764Z</dcterms:created>
  <dcterms:modified xsi:type="dcterms:W3CDTF">2026-07-23T13:08:03.764Z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