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rFonts w:ascii="Aptos Display" w:cs="Aptos Display" w:eastAsia="Aptos Display" w:hAnsi="Aptos Display"/>
          <w:b/>
          <w:bCs/>
          <w:color w:val="1B2A4A"/>
          <w:sz w:val="72"/>
          <w:szCs w:val="72"/>
        </w:rPr>
        <w:t xml:space="preserve">ABBA</w:t>
      </w:r>
    </w:p>
    <w:p>
      <w:pPr>
        <w:spacing w:after="600"/>
      </w:pPr>
      <w:r>
        <w:rPr>
          <w:rFonts w:ascii="Aptos" w:cs="Aptos" w:eastAsia="Aptos" w:hAnsi="Aptos"/>
          <w:color w:val="C2A35B"/>
          <w:sz w:val="24"/>
          <w:szCs w:val="24"/>
        </w:rPr>
        <w:t xml:space="preserve">Consultoria de IA</w:t>
      </w:r>
    </w:p>
    <w:p>
      <w:pPr>
        <w:spacing w:after="100"/>
      </w:pPr>
      <w:r>
        <w:rPr>
          <w:rFonts w:ascii="Aptos Display" w:cs="Aptos Display" w:eastAsia="Aptos Display" w:hAnsi="Aptos Display"/>
          <w:b/>
          <w:bCs/>
          <w:color w:val="1B2A4A"/>
          <w:sz w:val="48"/>
          <w:szCs w:val="48"/>
        </w:rPr>
        <w:t xml:space="preserve">Relatório de Deployment</w:t>
      </w:r>
    </w:p>
    <w:p>
      <w:pPr>
        <w:spacing w:after="420"/>
      </w:pPr>
      <w:r>
        <w:rPr>
          <w:rFonts w:ascii="Aptos" w:cs="Aptos" w:eastAsia="Aptos" w:hAnsi="Aptos"/>
          <w:color w:val="5A6472"/>
          <w:sz w:val="26"/>
          <w:szCs w:val="26"/>
        </w:rPr>
        <w:t xml:space="preserve">Go-live formal — o que entrou em produção e como será operado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Cliente: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{{NOME_DO_CLIENTE}}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Engajamento: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{{NOME_DO_PROJETO}}   |   Ref: ABBA-{{ANO}}-{{NUM}}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5A6472"/>
          <w:sz w:val="22"/>
          <w:szCs w:val="22"/>
        </w:rPr>
        <w:t xml:space="preserve">{{DATA}}   ·   Responsável ABBA: {{SOCIO}}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1.  Sumário do go-live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Data do go-live: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 }}</w:t>
      </w:r>
    </w:p>
    <w:p>
      <w:pPr>
        <w:spacing w:after="8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Escopo implantado: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{{agentes, áreas, usuários}}</w:t>
      </w:r>
    </w:p>
    <w:p>
      <w:pPr>
        <w:spacing w:after="140" w:before="0"/>
      </w:pPr>
      <w:r>
        <w:rPr>
          <w:rFonts w:ascii="Aptos" w:cs="Aptos" w:eastAsia="Aptos" w:hAnsi="Aptos"/>
          <w:b/>
          <w:bCs/>
          <w:i w:val="false"/>
          <w:iCs w:val="false"/>
          <w:color w:val="1B2A4A"/>
          <w:sz w:val="22"/>
          <w:szCs w:val="22"/>
        </w:rPr>
        <w:t xml:space="preserve">Modalidade: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{{ABBA Cloud gerenciada / On-premise}}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2.  Testes de aceitação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50"/>
        <w:gridCol w:w="18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0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35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shd w:fill="1B2A4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Funcional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{{Aprovado}}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3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3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Carga/volume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35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  <w:tr>
        <w:tc>
          <w:tcPr>
            <w:tcW w:type="dxa" w:w="22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Segurança e acesso</w:t>
            </w:r>
          </w:p>
        </w:tc>
        <w:tc>
          <w:tcPr>
            <w:tcW w:type="dxa" w:w="30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235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  <w:tc>
          <w:tcPr>
            <w:tcW w:type="dxa" w:w="1800"/>
            <w:shd w:fill="F4F6F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B2B2B"/>
                <w:sz w:val="20"/>
                <w:szCs w:val="20"/>
              </w:rPr>
              <w:t xml:space="preserve">{{ }}</w:t>
            </w:r>
          </w:p>
        </w:tc>
      </w:tr>
    </w:tbl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3.  Operação e SLAs ativados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Severidades, tempos de resposta e janela de suporte conforme o SLA contratado (Anexo do contrato). {{Transcrever a tabela do SLA vigente — não inventar números novos aqui}}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4.  Treinamento e adoção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{{Quem foi treinado, formato (plataforma + presencial), % onboardado no go-live, plano para retardatários}}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5.  Handover e documentação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Documentação técnica e operacional entregue: {{onde}}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Inventário de decisões automatizadas (Art. 20 LGPD) atualizado: {{link/local}}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ptos" w:cs="Aptos" w:eastAsia="Aptos" w:hAnsi="Aptos"/>
          <w:b w:val="false"/>
          <w:bCs w:val="false"/>
          <w:color w:val="2B2B2B"/>
          <w:sz w:val="22"/>
          <w:szCs w:val="22"/>
        </w:rPr>
        <w:t xml:space="preserve">Acessos e credenciais transferidos conforme contrato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6.  Operação assistida (hypercare)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Período de {{30}} dias de acompanhamento intensivo a partir do go-live: monitoramento diário, ajuste fino, canal direto. Ao final, transição para a manutenção contínua sob SLA — com o primeiro Relatório Mensal de Operação.</w:t>
      </w:r>
    </w:p>
    <w:p>
      <w:pPr>
        <w:pStyle w:val="Heading1"/>
        <w:spacing w:after="160" w:before="360"/>
      </w:pPr>
      <w:r>
        <w:rPr>
          <w:rFonts w:ascii="Aptos Display" w:cs="Aptos Display" w:eastAsia="Aptos Display" w:hAnsi="Aptos Display"/>
          <w:b/>
          <w:bCs/>
          <w:color w:val="1B2A4A"/>
          <w:sz w:val="30"/>
          <w:szCs w:val="30"/>
        </w:rPr>
        <w:t xml:space="preserve">7.  Aceite</w:t>
      </w:r>
    </w:p>
    <w:p>
      <w:pPr>
        <w:spacing w:after="14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 aceite formal desta fase é registrado no Termo de Aceite de Entregáveis anexo — que autoriza a fatura do marco e o início da operação contínua.</w:t>
      </w:r>
    </w:p>
    <w:sectPr>
      <w:headerReference w:type="default" r:id="rId7"/>
      <w:footerReference w:type="default" r:id="rId8"/>
      <w:pgSz w:w="11906" w:h="16838" w:orient="portrait"/>
      <w:pgMar w:top="125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0"/>
      </w:tabs>
    </w:pPr>
    <w:r>
      <w:rPr>
        <w:rFonts w:ascii="Aptos" w:cs="Aptos" w:eastAsia="Aptos" w:hAnsi="Aptos"/>
        <w:color w:val="5A6472"/>
        <w:sz w:val="18"/>
        <w:szCs w:val="18"/>
      </w:rPr>
      <w:t xml:space="preserve">ABBA · Consultoria de IA</w:t>
    </w:r>
    <w:r>
      <w:rPr>
        <w:rFonts w:ascii="Aptos" w:cs="Aptos" w:eastAsia="Aptos" w:hAnsi="Aptos"/>
        <w:color w:val="C2A35B"/>
        <w:sz w:val="18"/>
        <w:szCs w:val="18"/>
      </w:rPr>
      <w:t xml:space="preserve">	abbaservices.com.br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A6472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2026-07-23T13:08:04.056Z</dcterms:created>
  <dcterms:modified xsi:type="dcterms:W3CDTF">2026-07-23T13:08:04.056Z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